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5F" w:rsidRPr="008D4AB4" w:rsidRDefault="008D4AB4" w:rsidP="0029285F">
      <w:pPr>
        <w:pStyle w:val="BodyText"/>
        <w:tabs>
          <w:tab w:val="left" w:pos="245"/>
          <w:tab w:val="left" w:pos="605"/>
          <w:tab w:val="left" w:pos="9461"/>
        </w:tabs>
        <w:rPr>
          <w:b/>
          <w:bCs/>
          <w:iCs/>
          <w:sz w:val="28"/>
          <w:szCs w:val="28"/>
          <w:lang w:val="en-GB"/>
        </w:rPr>
      </w:pPr>
      <w:bookmarkStart w:id="0" w:name="_Toc328061337"/>
      <w:bookmarkStart w:id="1" w:name="_Toc423946862"/>
      <w:r>
        <w:rPr>
          <w:b/>
          <w:bCs/>
          <w:iCs/>
          <w:sz w:val="28"/>
          <w:szCs w:val="28"/>
        </w:rPr>
        <w:t xml:space="preserve">The return of the </w:t>
      </w:r>
      <w:proofErr w:type="gramStart"/>
      <w:r w:rsidR="0062677C">
        <w:rPr>
          <w:b/>
          <w:bCs/>
          <w:iCs/>
          <w:sz w:val="28"/>
          <w:szCs w:val="28"/>
        </w:rPr>
        <w:t>B</w:t>
      </w:r>
      <w:r>
        <w:rPr>
          <w:b/>
          <w:bCs/>
          <w:iCs/>
          <w:sz w:val="28"/>
          <w:szCs w:val="28"/>
        </w:rPr>
        <w:t>ig</w:t>
      </w:r>
      <w:proofErr w:type="gramEnd"/>
      <w:r>
        <w:rPr>
          <w:b/>
          <w:bCs/>
          <w:iCs/>
          <w:sz w:val="28"/>
          <w:szCs w:val="28"/>
        </w:rPr>
        <w:t xml:space="preserve"> 3</w:t>
      </w:r>
      <w:r w:rsidR="001D4938">
        <w:rPr>
          <w:b/>
          <w:bCs/>
          <w:iCs/>
          <w:sz w:val="28"/>
          <w:szCs w:val="28"/>
        </w:rPr>
        <w:t xml:space="preserve"> </w:t>
      </w:r>
      <w:r w:rsidR="001D4938" w:rsidRPr="001D4938">
        <w:rPr>
          <w:bCs/>
          <w:iCs/>
          <w:sz w:val="28"/>
          <w:szCs w:val="28"/>
        </w:rPr>
        <w:t xml:space="preserve">- </w:t>
      </w:r>
      <w:r>
        <w:rPr>
          <w:b/>
          <w:bCs/>
          <w:iCs/>
          <w:sz w:val="28"/>
          <w:szCs w:val="28"/>
        </w:rPr>
        <w:t>2015 Iron Ore Review</w:t>
      </w:r>
    </w:p>
    <w:p w:rsidR="0029285F" w:rsidRPr="00A83E27" w:rsidRDefault="0029285F" w:rsidP="0029285F">
      <w:pPr>
        <w:pStyle w:val="BodyText"/>
        <w:tabs>
          <w:tab w:val="left" w:pos="245"/>
          <w:tab w:val="left" w:pos="605"/>
          <w:tab w:val="left" w:pos="9461"/>
        </w:tabs>
        <w:rPr>
          <w:b/>
          <w:bCs/>
          <w:iCs/>
          <w:lang w:val="en-GB"/>
        </w:rPr>
      </w:pPr>
    </w:p>
    <w:p w:rsidR="0029285F" w:rsidRDefault="0029285F" w:rsidP="0029285F">
      <w:pPr>
        <w:pStyle w:val="BodyText"/>
        <w:tabs>
          <w:tab w:val="left" w:pos="245"/>
          <w:tab w:val="left" w:pos="605"/>
          <w:tab w:val="left" w:pos="9461"/>
        </w:tabs>
        <w:rPr>
          <w:bCs/>
          <w:iCs/>
          <w:szCs w:val="24"/>
        </w:rPr>
      </w:pPr>
      <w:r>
        <w:rPr>
          <w:bCs/>
          <w:iCs/>
          <w:szCs w:val="24"/>
        </w:rPr>
        <w:t>Anton Löf, SNL Metals &amp; Mining, Stockholm</w:t>
      </w:r>
      <w:r w:rsidRPr="000C74E8">
        <w:rPr>
          <w:bCs/>
          <w:iCs/>
          <w:szCs w:val="24"/>
        </w:rPr>
        <w:t>, www.</w:t>
      </w:r>
      <w:r>
        <w:rPr>
          <w:bCs/>
          <w:iCs/>
          <w:szCs w:val="24"/>
        </w:rPr>
        <w:t>snl.com</w:t>
      </w:r>
    </w:p>
    <w:p w:rsidR="0029285F" w:rsidRDefault="0029285F" w:rsidP="0029285F">
      <w:pPr>
        <w:pStyle w:val="BodyText"/>
        <w:tabs>
          <w:tab w:val="left" w:pos="245"/>
          <w:tab w:val="left" w:pos="605"/>
          <w:tab w:val="left" w:pos="9461"/>
        </w:tabs>
        <w:rPr>
          <w:bCs/>
          <w:iCs/>
          <w:szCs w:val="24"/>
        </w:rPr>
      </w:pPr>
      <w:r w:rsidRPr="000C74E8">
        <w:rPr>
          <w:bCs/>
          <w:iCs/>
          <w:szCs w:val="24"/>
        </w:rPr>
        <w:t xml:space="preserve">Magnus Ericsson, </w:t>
      </w:r>
      <w:proofErr w:type="spellStart"/>
      <w:r>
        <w:rPr>
          <w:bCs/>
          <w:iCs/>
          <w:szCs w:val="24"/>
        </w:rPr>
        <w:t>Luleå</w:t>
      </w:r>
      <w:proofErr w:type="spellEnd"/>
      <w:r>
        <w:rPr>
          <w:bCs/>
          <w:iCs/>
          <w:szCs w:val="24"/>
        </w:rPr>
        <w:t xml:space="preserve"> University of Technology, Sweden</w:t>
      </w:r>
    </w:p>
    <w:p w:rsidR="0029285F" w:rsidRDefault="0029285F" w:rsidP="000539F8">
      <w:pPr>
        <w:pStyle w:val="Title"/>
        <w:tabs>
          <w:tab w:val="left" w:pos="7740"/>
          <w:tab w:val="right" w:pos="7920"/>
        </w:tabs>
        <w:rPr>
          <w:sz w:val="32"/>
          <w:szCs w:val="32"/>
          <w:lang w:val="en-US"/>
        </w:rPr>
      </w:pPr>
    </w:p>
    <w:p w:rsidR="000539F8" w:rsidRPr="00324E0F" w:rsidRDefault="000539F8" w:rsidP="000539F8">
      <w:pPr>
        <w:pStyle w:val="Heading1"/>
        <w:jc w:val="center"/>
        <w:rPr>
          <w:i w:val="0"/>
          <w:iCs w:val="0"/>
        </w:rPr>
      </w:pPr>
      <w:r w:rsidRPr="00324E0F">
        <w:rPr>
          <w:i w:val="0"/>
          <w:iCs w:val="0"/>
        </w:rPr>
        <w:t>IRON ORE MARKET 201</w:t>
      </w:r>
      <w:bookmarkEnd w:id="0"/>
      <w:r w:rsidRPr="00324E0F">
        <w:rPr>
          <w:i w:val="0"/>
          <w:iCs w:val="0"/>
        </w:rPr>
        <w:t>4</w:t>
      </w:r>
      <w:bookmarkEnd w:id="1"/>
      <w:r w:rsidR="00851939">
        <w:rPr>
          <w:i w:val="0"/>
          <w:iCs w:val="0"/>
        </w:rPr>
        <w:t>/2015</w:t>
      </w:r>
    </w:p>
    <w:p w:rsidR="000539F8" w:rsidRPr="00324E0F" w:rsidRDefault="000539F8" w:rsidP="000539F8"/>
    <w:p w:rsidR="000539F8" w:rsidRPr="00324E0F" w:rsidRDefault="000539F8" w:rsidP="000539F8">
      <w:pPr>
        <w:tabs>
          <w:tab w:val="left" w:pos="-1052"/>
          <w:tab w:val="left" w:pos="-332"/>
          <w:tab w:val="left" w:pos="1"/>
          <w:tab w:val="left" w:pos="8308"/>
        </w:tabs>
        <w:spacing w:after="240"/>
        <w:jc w:val="both"/>
      </w:pPr>
      <w:bookmarkStart w:id="2" w:name="_Toc297885174"/>
      <w:bookmarkStart w:id="3" w:name="_Toc299576210"/>
      <w:bookmarkStart w:id="4" w:name="_Toc328060637"/>
      <w:bookmarkStart w:id="5" w:name="_Toc328060973"/>
      <w:bookmarkStart w:id="6" w:name="_Toc328061342"/>
      <w:r w:rsidRPr="00F82893">
        <w:rPr>
          <w:highlight w:val="yellow"/>
        </w:rPr>
        <w:tab/>
      </w:r>
      <w:r>
        <w:t xml:space="preserve">After a long period of rapid growth, </w:t>
      </w:r>
      <w:r w:rsidR="00B557A3">
        <w:t xml:space="preserve">iron ore </w:t>
      </w:r>
      <w:r>
        <w:t xml:space="preserve">demand </w:t>
      </w:r>
      <w:r w:rsidR="00851939">
        <w:t xml:space="preserve">has </w:t>
      </w:r>
      <w:r>
        <w:t>levelled off and prices have returned to levels not seen since 2002. The reorientation of China’s growth strategy has brought steel use growth almost to a stop, at least temporarily, and signs of demand picking up in other parts of the world have not been enough to offset the Chinese stagnation. At the same time, the world’s largest iron ore mining companies have expanded their production</w:t>
      </w:r>
      <w:r w:rsidR="004969F7">
        <w:t>, mainly</w:t>
      </w:r>
      <w:r>
        <w:t xml:space="preserve"> in Australia, but also elsewhere, leading to a substantial supply overhang. Closures of capacity, particularly in China, have not been large enough to compensate for the Australian expansion and many mining projects under development have been halted or </w:t>
      </w:r>
      <w:r w:rsidR="004969F7">
        <w:t>delayed</w:t>
      </w:r>
      <w:r>
        <w:t xml:space="preserve">. The iron ore market </w:t>
      </w:r>
      <w:r w:rsidR="00851939">
        <w:t>is</w:t>
      </w:r>
      <w:r>
        <w:t xml:space="preserve"> entering a new phase with slower growth, lower prices and squeezed margins for mining companies</w:t>
      </w:r>
    </w:p>
    <w:p w:rsidR="000539F8" w:rsidRPr="000539F8" w:rsidRDefault="000539F8" w:rsidP="000539F8">
      <w:pPr>
        <w:pStyle w:val="Heading1"/>
        <w:jc w:val="center"/>
        <w:rPr>
          <w:b w:val="0"/>
          <w:iCs w:val="0"/>
          <w:lang w:val="en-US"/>
        </w:rPr>
      </w:pPr>
      <w:bookmarkStart w:id="7" w:name="_Toc297885171"/>
      <w:bookmarkStart w:id="8" w:name="_Toc299576207"/>
      <w:bookmarkStart w:id="9" w:name="_Toc328060634"/>
      <w:bookmarkStart w:id="10" w:name="_Toc328060970"/>
      <w:bookmarkStart w:id="11" w:name="_Toc328061339"/>
      <w:bookmarkStart w:id="12" w:name="_Toc423946864"/>
      <w:r w:rsidRPr="000539F8">
        <w:rPr>
          <w:b w:val="0"/>
          <w:lang w:val="en-US"/>
        </w:rPr>
        <w:t>PRODUCTION</w:t>
      </w:r>
      <w:bookmarkEnd w:id="7"/>
      <w:bookmarkEnd w:id="8"/>
      <w:bookmarkEnd w:id="9"/>
      <w:bookmarkEnd w:id="10"/>
      <w:bookmarkEnd w:id="11"/>
      <w:bookmarkEnd w:id="12"/>
    </w:p>
    <w:p w:rsidR="000539F8" w:rsidRPr="00F82893" w:rsidRDefault="000539F8" w:rsidP="000539F8">
      <w:pPr>
        <w:rPr>
          <w:highlight w:val="yellow"/>
          <w:lang w:val="en-US"/>
        </w:rPr>
      </w:pPr>
    </w:p>
    <w:p w:rsidR="000539F8" w:rsidRPr="00EE7934" w:rsidRDefault="000539F8" w:rsidP="000539F8">
      <w:pPr>
        <w:tabs>
          <w:tab w:val="left" w:pos="-1052"/>
          <w:tab w:val="left" w:pos="-332"/>
          <w:tab w:val="left" w:pos="1"/>
          <w:tab w:val="left" w:pos="8308"/>
        </w:tabs>
        <w:spacing w:after="240"/>
        <w:jc w:val="both"/>
        <w:rPr>
          <w:bCs/>
        </w:rPr>
      </w:pPr>
      <w:r w:rsidRPr="00F82893">
        <w:rPr>
          <w:highlight w:val="yellow"/>
        </w:rPr>
        <w:tab/>
      </w:r>
      <w:r w:rsidR="006B3DE1">
        <w:t>W</w:t>
      </w:r>
      <w:r w:rsidRPr="00EE7934">
        <w:rPr>
          <w:bCs/>
        </w:rPr>
        <w:t xml:space="preserve">orld iron ore production </w:t>
      </w:r>
      <w:r>
        <w:rPr>
          <w:bCs/>
        </w:rPr>
        <w:t xml:space="preserve">rose by </w:t>
      </w:r>
      <w:r w:rsidR="006B3DE1">
        <w:rPr>
          <w:bCs/>
        </w:rPr>
        <w:t xml:space="preserve">a modest </w:t>
      </w:r>
      <w:r>
        <w:rPr>
          <w:bCs/>
        </w:rPr>
        <w:t>1.9</w:t>
      </w:r>
      <w:r w:rsidR="00B511D0">
        <w:rPr>
          <w:bCs/>
        </w:rPr>
        <w:t>%</w:t>
      </w:r>
      <w:r w:rsidR="006B3DE1">
        <w:rPr>
          <w:bCs/>
        </w:rPr>
        <w:t>,</w:t>
      </w:r>
      <w:r w:rsidR="00B511D0">
        <w:rPr>
          <w:bCs/>
        </w:rPr>
        <w:t xml:space="preserve"> </w:t>
      </w:r>
      <w:r>
        <w:rPr>
          <w:bCs/>
        </w:rPr>
        <w:t>to 2048</w:t>
      </w:r>
      <w:r w:rsidR="00581CD3">
        <w:rPr>
          <w:bCs/>
        </w:rPr>
        <w:t xml:space="preserve"> Mt</w:t>
      </w:r>
      <w:r w:rsidR="006B3DE1">
        <w:rPr>
          <w:bCs/>
        </w:rPr>
        <w:t>,</w:t>
      </w:r>
      <w:r w:rsidR="00581CD3">
        <w:rPr>
          <w:bCs/>
        </w:rPr>
        <w:t xml:space="preserve"> in 2014.</w:t>
      </w:r>
    </w:p>
    <w:p w:rsidR="00683866" w:rsidRDefault="004969F7" w:rsidP="004969F7">
      <w:pPr>
        <w:spacing w:after="240"/>
        <w:jc w:val="both"/>
      </w:pPr>
      <w:r w:rsidRPr="00365B9F">
        <w:t xml:space="preserve">Production increased in all regions except Asia, where it </w:t>
      </w:r>
      <w:r w:rsidR="0029285F">
        <w:t>declined by 21%</w:t>
      </w:r>
      <w:r w:rsidRPr="00365B9F">
        <w:t xml:space="preserve"> in 2014 to 406 Mt. Asian production peaked in 2007 at 647 Mt and has declined almost every year since, mainly due to falling production in China and India. In China, output (with Chinese produ</w:t>
      </w:r>
      <w:r>
        <w:t>ction converted to a standard 62% Fe</w:t>
      </w:r>
      <w:r w:rsidRPr="00365B9F">
        <w:t>) fell by 21</w:t>
      </w:r>
      <w:r w:rsidR="0029285F">
        <w:t>%</w:t>
      </w:r>
      <w:r w:rsidRPr="00365B9F">
        <w:t xml:space="preserve"> in 2013 and by 27</w:t>
      </w:r>
      <w:r w:rsidR="0029285F">
        <w:t>%</w:t>
      </w:r>
      <w:r w:rsidRPr="00365B9F">
        <w:t xml:space="preserve"> in 2014, to 193 Mt. In India, production declined by 11</w:t>
      </w:r>
      <w:r w:rsidR="00581CD3">
        <w:t>%</w:t>
      </w:r>
      <w:r w:rsidRPr="00365B9F">
        <w:t xml:space="preserve"> in 2013 and </w:t>
      </w:r>
      <w:r w:rsidRPr="00CD03BA">
        <w:t xml:space="preserve">by </w:t>
      </w:r>
      <w:r w:rsidR="00CD03BA" w:rsidRPr="00CD03BA">
        <w:t>4.6</w:t>
      </w:r>
      <w:r w:rsidR="00581CD3" w:rsidRPr="00CD03BA">
        <w:t>% in</w:t>
      </w:r>
      <w:r w:rsidR="00581CD3">
        <w:t xml:space="preserve"> 2014. At 130 Mt it was 4</w:t>
      </w:r>
      <w:r w:rsidRPr="00365B9F">
        <w:t>2</w:t>
      </w:r>
      <w:r w:rsidR="00581CD3">
        <w:t>%</w:t>
      </w:r>
      <w:r w:rsidRPr="00365B9F">
        <w:t xml:space="preserve"> lower than at its </w:t>
      </w:r>
      <w:r w:rsidR="00683866">
        <w:t xml:space="preserve">latest </w:t>
      </w:r>
      <w:r w:rsidRPr="00365B9F">
        <w:t xml:space="preserve">peak in 2009. </w:t>
      </w:r>
      <w:r w:rsidR="00683866">
        <w:t xml:space="preserve">Production </w:t>
      </w:r>
      <w:r w:rsidR="00BB2184">
        <w:t xml:space="preserve">of iron ore </w:t>
      </w:r>
      <w:r w:rsidR="00683866">
        <w:t>in Indonesia has fallen almost 100% following the political decision to ban exports of unprocessed material</w:t>
      </w:r>
      <w:r w:rsidR="00BB2184">
        <w:t>,</w:t>
      </w:r>
      <w:r w:rsidR="00683866">
        <w:t xml:space="preserve"> effectively choking</w:t>
      </w:r>
      <w:r w:rsidR="00BB2184">
        <w:t xml:space="preserve"> an industry which has grown from 0.1 Mt in 2007 to the peak of 21.4 Mt iron ore produced in 2013 back down to 0.4 Mt in 2014.</w:t>
      </w:r>
    </w:p>
    <w:p w:rsidR="004969F7" w:rsidRDefault="00496868" w:rsidP="004969F7">
      <w:pPr>
        <w:spacing w:after="240"/>
        <w:jc w:val="both"/>
      </w:pPr>
      <w:proofErr w:type="gramStart"/>
      <w:r>
        <w:t>Figure 1.</w:t>
      </w:r>
      <w:proofErr w:type="gramEnd"/>
      <w:r w:rsidR="001D4938">
        <w:t xml:space="preserve"> </w:t>
      </w:r>
    </w:p>
    <w:p w:rsidR="000539F8" w:rsidRDefault="000539F8" w:rsidP="000539F8">
      <w:pPr>
        <w:pStyle w:val="BodyText"/>
        <w:spacing w:after="240"/>
      </w:pPr>
      <w:r w:rsidRPr="00302AA0">
        <w:t>Over the past decade, since 2003, world production of iron ore has grown by 63</w:t>
      </w:r>
      <w:r w:rsidR="00581CD3">
        <w:t>%</w:t>
      </w:r>
      <w:r w:rsidRPr="00302AA0">
        <w:t>, or by 791 Mt. In developed market economies (including Eastern Europe), except Australia, iron ore production increased by 2</w:t>
      </w:r>
      <w:r w:rsidR="00B511D0">
        <w:t>3</w:t>
      </w:r>
      <w:r w:rsidRPr="00302AA0">
        <w:t xml:space="preserve">% during this period. </w:t>
      </w:r>
      <w:r w:rsidRPr="00B511D0">
        <w:rPr>
          <w:lang w:val="en-GB"/>
        </w:rPr>
        <w:t xml:space="preserve">Australian production grew, however, by </w:t>
      </w:r>
      <w:r w:rsidRPr="00A66B32">
        <w:rPr>
          <w:lang w:val="en-GB"/>
        </w:rPr>
        <w:t>2</w:t>
      </w:r>
      <w:r w:rsidR="00A66B32" w:rsidRPr="00A66B32">
        <w:rPr>
          <w:lang w:val="en-GB"/>
        </w:rPr>
        <w:t>40</w:t>
      </w:r>
      <w:r w:rsidR="00581CD3" w:rsidRPr="00A66B32">
        <w:rPr>
          <w:lang w:val="en-GB"/>
        </w:rPr>
        <w:t>%</w:t>
      </w:r>
      <w:r w:rsidRPr="00A66B32">
        <w:rPr>
          <w:lang w:val="en-GB"/>
        </w:rPr>
        <w:t xml:space="preserve">. </w:t>
      </w:r>
      <w:r w:rsidRPr="00A66B32">
        <w:t>In the CIS countries, iron ore production in the same period increased by 2</w:t>
      </w:r>
      <w:r w:rsidR="00B511D0" w:rsidRPr="00A66B32">
        <w:t>2</w:t>
      </w:r>
      <w:r w:rsidR="00581CD3" w:rsidRPr="00A66B32">
        <w:t>%</w:t>
      </w:r>
      <w:r w:rsidRPr="00A66B32">
        <w:t>.</w:t>
      </w:r>
      <w:r w:rsidRPr="00302AA0">
        <w:t xml:space="preserve"> Production in these countries, despite the recovery in recent years, still has some way to go to reach the record levels of 250 Mt that was attained in the mid-1980s</w:t>
      </w:r>
      <w:r w:rsidR="005B5737">
        <w:t xml:space="preserve"> and in the present market this is not likely to happen at all</w:t>
      </w:r>
      <w:r w:rsidRPr="00302AA0">
        <w:t>. In Western Europe production increased by 40</w:t>
      </w:r>
      <w:r w:rsidR="00581CD3">
        <w:t>%</w:t>
      </w:r>
      <w:r w:rsidRPr="00302AA0">
        <w:t xml:space="preserve"> fr</w:t>
      </w:r>
      <w:r>
        <w:t>om 2004 to 2014, although at 36.</w:t>
      </w:r>
      <w:r w:rsidRPr="00302AA0">
        <w:t xml:space="preserve">8 Mt it is still modest from a global perspective. </w:t>
      </w:r>
      <w:r w:rsidR="00851939">
        <w:t xml:space="preserve">North America, Canada and the USA have added 14 Mt of iron ore production since 2005 growing by 17 %. </w:t>
      </w:r>
      <w:r w:rsidRPr="00302AA0">
        <w:t xml:space="preserve">A number of projects in Scandinavia </w:t>
      </w:r>
      <w:r>
        <w:t>a</w:t>
      </w:r>
      <w:r w:rsidRPr="00302AA0">
        <w:t>nd North America have been s</w:t>
      </w:r>
      <w:r>
        <w:t xml:space="preserve">helved or postponed due to </w:t>
      </w:r>
      <w:r w:rsidRPr="00302AA0">
        <w:t>the current low prices and it does not appear likely that the growth rates achieved over the past decade will be maintained</w:t>
      </w:r>
      <w:r w:rsidR="00851939">
        <w:t xml:space="preserve"> in these regions</w:t>
      </w:r>
      <w:r w:rsidRPr="00302AA0">
        <w:t>.</w:t>
      </w:r>
      <w:r w:rsidR="00851939">
        <w:t xml:space="preserve"> During the first half of 2015 in principle all production in non-traditional iron ore export</w:t>
      </w:r>
      <w:r w:rsidR="00F85FF1">
        <w:t>ing</w:t>
      </w:r>
      <w:r w:rsidR="00851939">
        <w:t xml:space="preserve"> countries such as Honduras, Argentine, </w:t>
      </w:r>
      <w:r w:rsidR="00F85FF1">
        <w:t>Myanmar, Thailand and others has been stopped due to the low prices.</w:t>
      </w:r>
      <w:r w:rsidR="00851939">
        <w:t xml:space="preserve"> </w:t>
      </w:r>
      <w:r w:rsidRPr="00302AA0">
        <w:t xml:space="preserve"> </w:t>
      </w:r>
    </w:p>
    <w:p w:rsidR="003B7E88" w:rsidRPr="003B6539" w:rsidRDefault="003B7E88" w:rsidP="003B7E88">
      <w:pPr>
        <w:tabs>
          <w:tab w:val="right" w:pos="3989"/>
          <w:tab w:val="right" w:pos="5285"/>
          <w:tab w:val="right" w:pos="6581"/>
          <w:tab w:val="left" w:pos="7157"/>
        </w:tabs>
        <w:spacing w:after="240"/>
        <w:jc w:val="both"/>
        <w:rPr>
          <w:color w:val="000000"/>
        </w:rPr>
      </w:pPr>
      <w:bookmarkStart w:id="13" w:name="_Toc297885175"/>
      <w:bookmarkStart w:id="14" w:name="_Toc299576211"/>
      <w:r w:rsidRPr="003B6539">
        <w:rPr>
          <w:color w:val="000000"/>
        </w:rPr>
        <w:lastRenderedPageBreak/>
        <w:t>World pellets production declined by 1.8</w:t>
      </w:r>
      <w:r w:rsidR="00B511D0">
        <w:rPr>
          <w:color w:val="000000"/>
        </w:rPr>
        <w:t>%</w:t>
      </w:r>
      <w:r w:rsidRPr="003B6539">
        <w:rPr>
          <w:color w:val="000000"/>
        </w:rPr>
        <w:t xml:space="preserve"> to 461.4 Mt in 2014, </w:t>
      </w:r>
      <w:r>
        <w:rPr>
          <w:color w:val="000000"/>
        </w:rPr>
        <w:t>following growth of 3.9%</w:t>
      </w:r>
      <w:r w:rsidRPr="003B6539">
        <w:rPr>
          <w:color w:val="000000"/>
        </w:rPr>
        <w:t xml:space="preserve"> in 2013. World exports are estimated </w:t>
      </w:r>
      <w:r w:rsidR="005B5737">
        <w:rPr>
          <w:color w:val="000000"/>
        </w:rPr>
        <w:t>at</w:t>
      </w:r>
      <w:r w:rsidR="00851939">
        <w:rPr>
          <w:color w:val="000000"/>
        </w:rPr>
        <w:t xml:space="preserve"> </w:t>
      </w:r>
      <w:r w:rsidRPr="003B6539">
        <w:rPr>
          <w:color w:val="000000"/>
        </w:rPr>
        <w:t>137 M</w:t>
      </w:r>
      <w:r>
        <w:rPr>
          <w:color w:val="000000"/>
        </w:rPr>
        <w:t>t, a</w:t>
      </w:r>
      <w:r w:rsidR="00851939">
        <w:rPr>
          <w:color w:val="000000"/>
        </w:rPr>
        <w:t xml:space="preserve"> marginal</w:t>
      </w:r>
      <w:r>
        <w:rPr>
          <w:color w:val="000000"/>
        </w:rPr>
        <w:t xml:space="preserve"> increase of 0.7% </w:t>
      </w:r>
      <w:r w:rsidRPr="003B6539">
        <w:rPr>
          <w:color w:val="000000"/>
        </w:rPr>
        <w:t xml:space="preserve">on 2013, when exports declined. Since 2011, when world pellets exports </w:t>
      </w:r>
      <w:r w:rsidR="00851939">
        <w:rPr>
          <w:color w:val="000000"/>
        </w:rPr>
        <w:t>reached its historical maximum so far</w:t>
      </w:r>
      <w:r w:rsidRPr="003B6539">
        <w:rPr>
          <w:color w:val="000000"/>
        </w:rPr>
        <w:t>,</w:t>
      </w:r>
      <w:r>
        <w:rPr>
          <w:color w:val="000000"/>
        </w:rPr>
        <w:t xml:space="preserve"> they have shrunk by 11%</w:t>
      </w:r>
      <w:r w:rsidRPr="003B6539">
        <w:rPr>
          <w:color w:val="000000"/>
        </w:rPr>
        <w:t xml:space="preserve">. </w:t>
      </w:r>
    </w:p>
    <w:p w:rsidR="000539F8" w:rsidRPr="00A16C02" w:rsidRDefault="000539F8" w:rsidP="000539F8">
      <w:pPr>
        <w:pStyle w:val="Heading1"/>
        <w:jc w:val="center"/>
        <w:rPr>
          <w:b w:val="0"/>
          <w:i w:val="0"/>
          <w:iCs w:val="0"/>
          <w:lang w:val="en-US"/>
        </w:rPr>
      </w:pPr>
      <w:bookmarkStart w:id="15" w:name="_Toc297885172"/>
      <w:bookmarkStart w:id="16" w:name="_Toc299576208"/>
      <w:bookmarkStart w:id="17" w:name="_Toc328060635"/>
      <w:bookmarkStart w:id="18" w:name="_Toc328060971"/>
      <w:bookmarkStart w:id="19" w:name="_Toc328061340"/>
      <w:bookmarkStart w:id="20" w:name="_Toc423946865"/>
      <w:bookmarkEnd w:id="13"/>
      <w:bookmarkEnd w:id="14"/>
      <w:r w:rsidRPr="00A16C02">
        <w:rPr>
          <w:b w:val="0"/>
          <w:lang w:val="en-US"/>
        </w:rPr>
        <w:t>TRADE</w:t>
      </w:r>
      <w:bookmarkEnd w:id="15"/>
      <w:bookmarkEnd w:id="16"/>
      <w:bookmarkEnd w:id="17"/>
      <w:bookmarkEnd w:id="18"/>
      <w:bookmarkEnd w:id="19"/>
      <w:bookmarkEnd w:id="20"/>
    </w:p>
    <w:p w:rsidR="000539F8" w:rsidRPr="00F82893" w:rsidRDefault="000539F8" w:rsidP="000539F8">
      <w:pPr>
        <w:rPr>
          <w:highlight w:val="yellow"/>
          <w:lang w:val="en-US"/>
        </w:rPr>
      </w:pPr>
    </w:p>
    <w:p w:rsidR="000539F8" w:rsidRPr="00BA3DC9" w:rsidRDefault="000539F8" w:rsidP="000539F8">
      <w:pPr>
        <w:pStyle w:val="BodyText"/>
        <w:spacing w:after="240"/>
      </w:pPr>
      <w:r w:rsidRPr="00BA3DC9">
        <w:t>World iron ore trade increased rapidly in both 2013 and 2014, with exports growing by 11 and 10</w:t>
      </w:r>
      <w:r w:rsidR="00581CD3">
        <w:t>%</w:t>
      </w:r>
      <w:r w:rsidRPr="00BA3DC9">
        <w:t xml:space="preserve"> respectively. The growth in trade reflects </w:t>
      </w:r>
      <w:r w:rsidR="004969F7">
        <w:t xml:space="preserve">changes in the geographical distribution </w:t>
      </w:r>
      <w:r w:rsidRPr="00BA3DC9">
        <w:t xml:space="preserve">of production, with a considerable increase in Chinese imports as a result of closures of domestic capacity in that country. </w:t>
      </w:r>
    </w:p>
    <w:p w:rsidR="000539F8" w:rsidRPr="00C21123" w:rsidRDefault="000539F8" w:rsidP="000539F8">
      <w:pPr>
        <w:tabs>
          <w:tab w:val="left" w:pos="-979"/>
          <w:tab w:val="left" w:pos="3251"/>
          <w:tab w:val="left" w:pos="8309"/>
        </w:tabs>
        <w:spacing w:after="240"/>
        <w:jc w:val="both"/>
      </w:pPr>
      <w:r w:rsidRPr="00A41A26">
        <w:t>World iron ore exports have increased by 1</w:t>
      </w:r>
      <w:r w:rsidR="00DA4600">
        <w:t>40</w:t>
      </w:r>
      <w:r w:rsidR="00581CD3">
        <w:t>%</w:t>
      </w:r>
      <w:r w:rsidRPr="00A41A26">
        <w:t xml:space="preserve"> since 200</w:t>
      </w:r>
      <w:r w:rsidR="00DA4600">
        <w:t>3</w:t>
      </w:r>
      <w:r w:rsidRPr="00A41A26">
        <w:t xml:space="preserve"> </w:t>
      </w:r>
      <w:r w:rsidRPr="00C21123">
        <w:t xml:space="preserve">Australia has received the main benefits from </w:t>
      </w:r>
      <w:r>
        <w:t xml:space="preserve">mine </w:t>
      </w:r>
      <w:r w:rsidRPr="00C21123">
        <w:t>closures in China and its exports increased by 2</w:t>
      </w:r>
      <w:r w:rsidR="00A66B32">
        <w:t>4</w:t>
      </w:r>
      <w:r w:rsidR="00581CD3">
        <w:t>%</w:t>
      </w:r>
      <w:r w:rsidRPr="00C21123">
        <w:t xml:space="preserve"> to 717 Mt in 2014. Brazilian exports have grown less impressively, although they rose by 4.5</w:t>
      </w:r>
      <w:r w:rsidR="00581CD3">
        <w:t>%</w:t>
      </w:r>
      <w:r w:rsidRPr="00C21123">
        <w:t xml:space="preserve"> in 2014, to 344 Mt. South Africa is now the third largest exporter</w:t>
      </w:r>
      <w:r w:rsidR="00851939">
        <w:t xml:space="preserve"> </w:t>
      </w:r>
      <w:r w:rsidR="008D4AB4">
        <w:t>at 66 Mt in 2014 as</w:t>
      </w:r>
      <w:r w:rsidR="008D4AB4" w:rsidRPr="00C21123">
        <w:t xml:space="preserve"> </w:t>
      </w:r>
      <w:r w:rsidRPr="00C21123">
        <w:t xml:space="preserve">India’s exports have declined precipitously from the peak of 117 Mt in 2009. In 2014, </w:t>
      </w:r>
      <w:r w:rsidR="008D4AB4">
        <w:t>Indian exports</w:t>
      </w:r>
      <w:r w:rsidR="008D4AB4" w:rsidRPr="00C21123">
        <w:t xml:space="preserve"> </w:t>
      </w:r>
      <w:r w:rsidRPr="00C21123">
        <w:t>were just under 10 Mt</w:t>
      </w:r>
      <w:r w:rsidR="00851939">
        <w:t xml:space="preserve">, as both political limitations on exports and red tape on new projects has hampered the growth of </w:t>
      </w:r>
      <w:r w:rsidR="008D4AB4">
        <w:t xml:space="preserve">the </w:t>
      </w:r>
      <w:r w:rsidR="00851939">
        <w:t xml:space="preserve">Indian iron ore </w:t>
      </w:r>
      <w:r w:rsidR="008D4AB4">
        <w:t>sector</w:t>
      </w:r>
      <w:r w:rsidRPr="00C21123">
        <w:t xml:space="preserve">. </w:t>
      </w:r>
    </w:p>
    <w:p w:rsidR="00390854" w:rsidRDefault="000539F8" w:rsidP="000539F8">
      <w:pPr>
        <w:tabs>
          <w:tab w:val="left" w:pos="1160"/>
          <w:tab w:val="right" w:pos="3989"/>
          <w:tab w:val="right" w:pos="5285"/>
          <w:tab w:val="right" w:pos="6581"/>
          <w:tab w:val="left" w:pos="7157"/>
        </w:tabs>
        <w:spacing w:after="240"/>
        <w:jc w:val="both"/>
      </w:pPr>
      <w:bookmarkStart w:id="21" w:name="_Toc297885173"/>
      <w:bookmarkStart w:id="22" w:name="_Toc299576209"/>
      <w:proofErr w:type="gramStart"/>
      <w:r w:rsidRPr="00550120">
        <w:t>China’s imports increased by 14</w:t>
      </w:r>
      <w:r w:rsidR="00581CD3">
        <w:t>%</w:t>
      </w:r>
      <w:r w:rsidRPr="00550120">
        <w:t xml:space="preserve"> in 2014.</w:t>
      </w:r>
      <w:proofErr w:type="gramEnd"/>
      <w:r w:rsidRPr="00550120">
        <w:t xml:space="preserve"> </w:t>
      </w:r>
      <w:r>
        <w:t>At 933 Mt, China accounts for 67</w:t>
      </w:r>
      <w:r w:rsidR="00581CD3">
        <w:t>%</w:t>
      </w:r>
      <w:r w:rsidRPr="00550120">
        <w:t xml:space="preserve"> of world imports</w:t>
      </w:r>
      <w:r w:rsidR="00390854">
        <w:t xml:space="preserve"> and it </w:t>
      </w:r>
      <w:r w:rsidR="004969F7" w:rsidRPr="00BA3DC9">
        <w:t xml:space="preserve">accounted for </w:t>
      </w:r>
      <w:r w:rsidR="008D4AB4">
        <w:t>88</w:t>
      </w:r>
      <w:r w:rsidR="00581CD3">
        <w:t>%</w:t>
      </w:r>
      <w:r w:rsidR="004969F7" w:rsidRPr="00BA3DC9">
        <w:t xml:space="preserve"> of the increase in world imports in 201</w:t>
      </w:r>
      <w:r w:rsidR="008D4AB4">
        <w:t>4</w:t>
      </w:r>
      <w:r w:rsidR="004969F7" w:rsidRPr="00BA3DC9">
        <w:t xml:space="preserve">. </w:t>
      </w:r>
      <w:r w:rsidRPr="00550120">
        <w:t>Japan</w:t>
      </w:r>
      <w:r w:rsidR="00851939">
        <w:t>ese</w:t>
      </w:r>
      <w:r w:rsidRPr="00550120">
        <w:t xml:space="preserve"> imports </w:t>
      </w:r>
      <w:r w:rsidR="00851939">
        <w:t>were stable at</w:t>
      </w:r>
      <w:r w:rsidRPr="00550120">
        <w:t xml:space="preserve"> 136 Mt. </w:t>
      </w:r>
      <w:proofErr w:type="gramStart"/>
      <w:r w:rsidRPr="00550120">
        <w:t>In the Republic of Korea imports increased by 15</w:t>
      </w:r>
      <w:r w:rsidR="00581CD3">
        <w:t>%</w:t>
      </w:r>
      <w:r w:rsidRPr="00550120">
        <w:t xml:space="preserve"> to 73 </w:t>
      </w:r>
      <w:r w:rsidR="00581CD3">
        <w:t>Mt.</w:t>
      </w:r>
      <w:r w:rsidRPr="004F600A">
        <w:t xml:space="preserve"> European imports (excluding the CIS countries), increased by 5.2</w:t>
      </w:r>
      <w:r w:rsidR="00581CD3">
        <w:t>%</w:t>
      </w:r>
      <w:r w:rsidRPr="004F600A">
        <w:t xml:space="preserve"> in 2014, reaching 135 Mt.</w:t>
      </w:r>
      <w:proofErr w:type="gramEnd"/>
      <w:r w:rsidRPr="004F600A">
        <w:t xml:space="preserve"> Although th</w:t>
      </w:r>
      <w:r w:rsidR="00851939">
        <w:t>ese are</w:t>
      </w:r>
      <w:r w:rsidRPr="004F600A">
        <w:t xml:space="preserve"> sign</w:t>
      </w:r>
      <w:r w:rsidR="00851939">
        <w:t>s</w:t>
      </w:r>
      <w:r w:rsidRPr="004F600A">
        <w:t xml:space="preserve"> of a timid recovery, it is still far from the volumes </w:t>
      </w:r>
      <w:r w:rsidR="00851939">
        <w:t>imported</w:t>
      </w:r>
      <w:r w:rsidRPr="004F600A">
        <w:t xml:space="preserve"> before the </w:t>
      </w:r>
      <w:r w:rsidR="00851939">
        <w:t xml:space="preserve">global </w:t>
      </w:r>
      <w:r w:rsidRPr="004F600A">
        <w:t xml:space="preserve">financial crisis. </w:t>
      </w:r>
    </w:p>
    <w:p w:rsidR="003B7E88" w:rsidRPr="00141D0F" w:rsidRDefault="003B7E88" w:rsidP="003B7E88">
      <w:pPr>
        <w:tabs>
          <w:tab w:val="right" w:pos="3989"/>
          <w:tab w:val="right" w:pos="5285"/>
          <w:tab w:val="right" w:pos="6581"/>
          <w:tab w:val="left" w:pos="7157"/>
        </w:tabs>
        <w:spacing w:after="240"/>
        <w:jc w:val="both"/>
        <w:rPr>
          <w:color w:val="FF0000"/>
        </w:rPr>
      </w:pPr>
      <w:bookmarkStart w:id="23" w:name="_Toc298492260"/>
      <w:bookmarkStart w:id="24" w:name="_Toc299576212"/>
      <w:bookmarkStart w:id="25" w:name="_Toc328060639"/>
      <w:bookmarkStart w:id="26" w:name="_Toc328060975"/>
      <w:bookmarkStart w:id="27" w:name="_Toc328061344"/>
      <w:proofErr w:type="gramStart"/>
      <w:r w:rsidRPr="00141D0F">
        <w:t>In 2014, seaborne iron ore trade increased by 12</w:t>
      </w:r>
      <w:r>
        <w:t>%</w:t>
      </w:r>
      <w:r w:rsidRPr="00141D0F">
        <w:t>, to 135</w:t>
      </w:r>
      <w:r>
        <w:t>6</w:t>
      </w:r>
      <w:r w:rsidRPr="00141D0F">
        <w:t xml:space="preserve"> Mt, following an increase by 7.</w:t>
      </w:r>
      <w:r>
        <w:t>3%</w:t>
      </w:r>
      <w:r w:rsidRPr="00141D0F">
        <w:t xml:space="preserve"> in 2013.</w:t>
      </w:r>
      <w:proofErr w:type="gramEnd"/>
      <w:r w:rsidRPr="00141D0F">
        <w:t xml:space="preserve"> As in earlier years, the increase was almost entirely due to higher Chinese imports. </w:t>
      </w:r>
      <w:r w:rsidR="008D4AB4">
        <w:t>With the price decreases forcing local Chinese iron ore miners to shut down operations and the Big 3 increasing their low cost iron ore production</w:t>
      </w:r>
      <w:r w:rsidR="00A83E27">
        <w:t>,</w:t>
      </w:r>
      <w:r w:rsidR="008D4AB4">
        <w:t xml:space="preserve"> we can expect seaborne traded iron ore to increase faster than the growth in total iron ore production</w:t>
      </w:r>
      <w:r w:rsidR="00FA03E2">
        <w:t xml:space="preserve"> in the short to mid-term. This will effectively relocate some of the production and increase the importance of seaborne traded iron ore. </w:t>
      </w:r>
      <w:r w:rsidRPr="00141D0F">
        <w:rPr>
          <w:color w:val="FF0000"/>
        </w:rPr>
        <w:t xml:space="preserve"> </w:t>
      </w:r>
    </w:p>
    <w:p w:rsidR="000539F8" w:rsidRPr="00A16C02" w:rsidRDefault="000539F8" w:rsidP="000539F8">
      <w:pPr>
        <w:pStyle w:val="Heading2"/>
        <w:spacing w:after="240"/>
        <w:rPr>
          <w:rFonts w:ascii="Times New Roman" w:hAnsi="Times New Roman"/>
          <w:b w:val="0"/>
          <w:i/>
          <w:iCs/>
          <w:color w:val="000000"/>
        </w:rPr>
      </w:pPr>
      <w:bookmarkStart w:id="28" w:name="_Toc423946869"/>
      <w:bookmarkEnd w:id="2"/>
      <w:bookmarkEnd w:id="3"/>
      <w:bookmarkEnd w:id="4"/>
      <w:bookmarkEnd w:id="5"/>
      <w:bookmarkEnd w:id="6"/>
      <w:bookmarkEnd w:id="21"/>
      <w:bookmarkEnd w:id="22"/>
      <w:bookmarkEnd w:id="23"/>
      <w:bookmarkEnd w:id="24"/>
      <w:bookmarkEnd w:id="25"/>
      <w:bookmarkEnd w:id="26"/>
      <w:bookmarkEnd w:id="27"/>
      <w:r w:rsidRPr="00A16C02">
        <w:rPr>
          <w:rFonts w:ascii="Times New Roman" w:hAnsi="Times New Roman"/>
          <w:b w:val="0"/>
          <w:i/>
          <w:iCs/>
          <w:color w:val="000000"/>
        </w:rPr>
        <w:t>PRICES</w:t>
      </w:r>
      <w:bookmarkEnd w:id="28"/>
      <w:r w:rsidRPr="00A16C02">
        <w:rPr>
          <w:rFonts w:ascii="Times New Roman" w:hAnsi="Times New Roman"/>
          <w:b w:val="0"/>
          <w:i/>
          <w:iCs/>
          <w:color w:val="000000"/>
        </w:rPr>
        <w:t xml:space="preserve"> </w:t>
      </w:r>
    </w:p>
    <w:p w:rsidR="000539F8" w:rsidRDefault="000539F8" w:rsidP="000539F8">
      <w:pPr>
        <w:spacing w:after="240"/>
        <w:jc w:val="both"/>
        <w:rPr>
          <w:color w:val="000000"/>
        </w:rPr>
      </w:pPr>
      <w:r>
        <w:rPr>
          <w:color w:val="000000"/>
        </w:rPr>
        <w:t>Having reached a new peak in late 2012, i</w:t>
      </w:r>
      <w:r w:rsidRPr="00145151">
        <w:rPr>
          <w:color w:val="000000"/>
        </w:rPr>
        <w:t xml:space="preserve">ron ore prices </w:t>
      </w:r>
      <w:r>
        <w:rPr>
          <w:color w:val="000000"/>
        </w:rPr>
        <w:t xml:space="preserve">trended downwards during most of 2013, and continued this trend in 2014. The decline accelerated in the autumn of 2014 and </w:t>
      </w:r>
      <w:r w:rsidR="00CD1C71">
        <w:rPr>
          <w:color w:val="000000"/>
        </w:rPr>
        <w:t xml:space="preserve">into 2015 but </w:t>
      </w:r>
      <w:r>
        <w:rPr>
          <w:color w:val="000000"/>
        </w:rPr>
        <w:t xml:space="preserve">the </w:t>
      </w:r>
      <w:r w:rsidR="00CD1C71">
        <w:rPr>
          <w:color w:val="000000"/>
        </w:rPr>
        <w:t xml:space="preserve">steep </w:t>
      </w:r>
      <w:r>
        <w:rPr>
          <w:color w:val="000000"/>
        </w:rPr>
        <w:t>price fall</w:t>
      </w:r>
      <w:r w:rsidR="00A66B32">
        <w:rPr>
          <w:color w:val="000000"/>
        </w:rPr>
        <w:t xml:space="preserve">s </w:t>
      </w:r>
      <w:r w:rsidR="00CD1C71">
        <w:rPr>
          <w:color w:val="000000"/>
        </w:rPr>
        <w:t xml:space="preserve">seems to have stopped in </w:t>
      </w:r>
      <w:r w:rsidR="00A66B32">
        <w:rPr>
          <w:color w:val="000000"/>
        </w:rPr>
        <w:t>mid-2015</w:t>
      </w:r>
      <w:r w:rsidR="009C6668">
        <w:rPr>
          <w:color w:val="000000"/>
        </w:rPr>
        <w:t xml:space="preserve"> and prices has moved sideways between 50-60 USD/t</w:t>
      </w:r>
      <w:r w:rsidR="00851939">
        <w:rPr>
          <w:color w:val="000000"/>
        </w:rPr>
        <w:t xml:space="preserve"> for standard 62 % medium quality fines delivered to China</w:t>
      </w:r>
      <w:r w:rsidR="009C6668">
        <w:rPr>
          <w:color w:val="000000"/>
        </w:rPr>
        <w:t>.</w:t>
      </w:r>
    </w:p>
    <w:p w:rsidR="004445D5" w:rsidRDefault="004445D5" w:rsidP="004445D5">
      <w:pPr>
        <w:spacing w:after="240"/>
        <w:jc w:val="both"/>
        <w:rPr>
          <w:color w:val="000000"/>
        </w:rPr>
      </w:pPr>
      <w:r>
        <w:rPr>
          <w:color w:val="000000"/>
        </w:rPr>
        <w:t xml:space="preserve">The main factor behind the fall in prices was the faster than expected increase in supply, particularly from the </w:t>
      </w:r>
      <w:r w:rsidR="00CD1C71">
        <w:rPr>
          <w:color w:val="000000"/>
        </w:rPr>
        <w:t xml:space="preserve">“Big </w:t>
      </w:r>
      <w:r w:rsidR="003B57E0">
        <w:rPr>
          <w:color w:val="000000"/>
        </w:rPr>
        <w:t>3</w:t>
      </w:r>
      <w:r w:rsidR="00CD1C71">
        <w:rPr>
          <w:color w:val="000000"/>
        </w:rPr>
        <w:t>”</w:t>
      </w:r>
      <w:r>
        <w:rPr>
          <w:color w:val="000000"/>
        </w:rPr>
        <w:t xml:space="preserve"> producers (Vale, Rio Tinto and BHP Billiton).</w:t>
      </w:r>
      <w:r w:rsidRPr="00390854">
        <w:rPr>
          <w:color w:val="000000"/>
        </w:rPr>
        <w:t xml:space="preserve"> </w:t>
      </w:r>
      <w:r w:rsidRPr="000F7446">
        <w:rPr>
          <w:color w:val="000000"/>
        </w:rPr>
        <w:t xml:space="preserve">Together, the three </w:t>
      </w:r>
      <w:r w:rsidRPr="000F7446">
        <w:rPr>
          <w:color w:val="222222"/>
          <w:shd w:val="clear" w:color="auto" w:fill="FFFFFF"/>
        </w:rPr>
        <w:t xml:space="preserve">increased their production </w:t>
      </w:r>
      <w:r>
        <w:rPr>
          <w:color w:val="222222"/>
          <w:shd w:val="clear" w:color="auto" w:fill="FFFFFF"/>
        </w:rPr>
        <w:t>by</w:t>
      </w:r>
      <w:r w:rsidRPr="000F7446">
        <w:rPr>
          <w:color w:val="222222"/>
          <w:shd w:val="clear" w:color="auto" w:fill="FFFFFF"/>
        </w:rPr>
        <w:t xml:space="preserve"> 115 Mt in 201</w:t>
      </w:r>
      <w:r w:rsidRPr="000F7446">
        <w:rPr>
          <w:color w:val="000000"/>
        </w:rPr>
        <w:t xml:space="preserve">4. </w:t>
      </w:r>
      <w:r w:rsidRPr="00E30ED1">
        <w:rPr>
          <w:color w:val="000000"/>
        </w:rPr>
        <w:t xml:space="preserve">A slowdown in Chinese demand was </w:t>
      </w:r>
      <w:r w:rsidR="00851939">
        <w:rPr>
          <w:color w:val="000000"/>
        </w:rPr>
        <w:t>the second most</w:t>
      </w:r>
      <w:r w:rsidRPr="00E30ED1">
        <w:rPr>
          <w:color w:val="000000"/>
        </w:rPr>
        <w:t xml:space="preserve"> important factor. Chinese pig iron production, which is the best proxy for iron ore use, exhibited feeble growth in</w:t>
      </w:r>
      <w:r>
        <w:rPr>
          <w:color w:val="000000"/>
        </w:rPr>
        <w:t xml:space="preserve"> </w:t>
      </w:r>
      <w:r w:rsidRPr="00E30ED1">
        <w:rPr>
          <w:color w:val="000000"/>
        </w:rPr>
        <w:t xml:space="preserve">2014, after having grown steadily in 2013. </w:t>
      </w:r>
      <w:r>
        <w:rPr>
          <w:color w:val="000000"/>
        </w:rPr>
        <w:t>The combination of the</w:t>
      </w:r>
      <w:r w:rsidR="00CD1C71">
        <w:rPr>
          <w:color w:val="000000"/>
        </w:rPr>
        <w:t>se</w:t>
      </w:r>
      <w:r>
        <w:rPr>
          <w:color w:val="000000"/>
        </w:rPr>
        <w:t xml:space="preserve"> two factors </w:t>
      </w:r>
      <w:r w:rsidRPr="00E30ED1">
        <w:rPr>
          <w:color w:val="000000"/>
        </w:rPr>
        <w:t>explains the rapid decl</w:t>
      </w:r>
      <w:r>
        <w:rPr>
          <w:color w:val="000000"/>
        </w:rPr>
        <w:t>ine of iron ore prices</w:t>
      </w:r>
      <w:r w:rsidRPr="00E30ED1">
        <w:rPr>
          <w:color w:val="000000"/>
        </w:rPr>
        <w:t xml:space="preserve">. </w:t>
      </w:r>
      <w:r>
        <w:rPr>
          <w:color w:val="000000"/>
        </w:rPr>
        <w:t xml:space="preserve">It is interesting to note that the decline in prices accelerated as of mid-2014, when the magnitude of the new supply became clear. During the second half of 2014 and the first few months of 2015, market sentiment became increasingly bearish. An illustration of this change in sentiment is that </w:t>
      </w:r>
      <w:r>
        <w:rPr>
          <w:color w:val="000000"/>
        </w:rPr>
        <w:lastRenderedPageBreak/>
        <w:t xml:space="preserve">forward iron ore prices, which held up relatively well in 2014, declined more rapidly in 2015, particularly in March and April, as the </w:t>
      </w:r>
      <w:proofErr w:type="spellStart"/>
      <w:r>
        <w:rPr>
          <w:color w:val="000000"/>
        </w:rPr>
        <w:t>contango</w:t>
      </w:r>
      <w:proofErr w:type="spellEnd"/>
      <w:r>
        <w:rPr>
          <w:color w:val="000000"/>
        </w:rPr>
        <w:t xml:space="preserve"> on futures markets disappeared. This meant that producers </w:t>
      </w:r>
      <w:r w:rsidR="00851939">
        <w:rPr>
          <w:color w:val="000000"/>
        </w:rPr>
        <w:t xml:space="preserve">that </w:t>
      </w:r>
      <w:r>
        <w:rPr>
          <w:color w:val="000000"/>
        </w:rPr>
        <w:t xml:space="preserve">had </w:t>
      </w:r>
      <w:r w:rsidR="00851939">
        <w:rPr>
          <w:color w:val="000000"/>
        </w:rPr>
        <w:t xml:space="preserve">earlier </w:t>
      </w:r>
      <w:r>
        <w:rPr>
          <w:color w:val="000000"/>
        </w:rPr>
        <w:t>been able to hedge and sell forward at prices significantly higher than the spot quotations lost the possibility to do so. Their financial position has therefore considerably worsened, as they can no longer finance stocks this way. The decline in futures prices can be interpreted as an indication that the market expects prices to decline further</w:t>
      </w:r>
      <w:r w:rsidR="00CD1C71">
        <w:rPr>
          <w:color w:val="000000"/>
        </w:rPr>
        <w:t>.</w:t>
      </w:r>
      <w:r>
        <w:rPr>
          <w:color w:val="000000"/>
        </w:rPr>
        <w:t xml:space="preserve"> </w:t>
      </w:r>
      <w:r w:rsidR="00CD1C71">
        <w:rPr>
          <w:color w:val="000000"/>
        </w:rPr>
        <w:t>I</w:t>
      </w:r>
      <w:r>
        <w:rPr>
          <w:color w:val="000000"/>
        </w:rPr>
        <w:t xml:space="preserve">t could </w:t>
      </w:r>
      <w:r w:rsidR="00CD1C71">
        <w:rPr>
          <w:color w:val="000000"/>
        </w:rPr>
        <w:t xml:space="preserve">also </w:t>
      </w:r>
      <w:r>
        <w:rPr>
          <w:color w:val="000000"/>
        </w:rPr>
        <w:t xml:space="preserve">be a sign that futures markets for iron ore are not liquid enough to accommodate </w:t>
      </w:r>
      <w:proofErr w:type="spellStart"/>
      <w:r>
        <w:rPr>
          <w:color w:val="000000"/>
        </w:rPr>
        <w:t>contango</w:t>
      </w:r>
      <w:proofErr w:type="spellEnd"/>
      <w:r>
        <w:rPr>
          <w:color w:val="000000"/>
        </w:rPr>
        <w:t xml:space="preserve"> financing on a scale comparable to that of other futures markets for metals.</w:t>
      </w:r>
    </w:p>
    <w:p w:rsidR="00390854" w:rsidRDefault="000539F8" w:rsidP="000539F8">
      <w:pPr>
        <w:spacing w:after="240"/>
        <w:jc w:val="both"/>
        <w:rPr>
          <w:color w:val="000000"/>
        </w:rPr>
      </w:pPr>
      <w:r>
        <w:rPr>
          <w:color w:val="000000"/>
        </w:rPr>
        <w:t>It is notable that the “domestic premium”, that is, the difference in price between Chinese ore and imported material, has remained constant or even widened somewhat as prices have fallen. Only part of the premium is explained by the grade difference between domestic concentrate and imported ore</w:t>
      </w:r>
      <w:r w:rsidR="00CD1C71">
        <w:rPr>
          <w:color w:val="000000"/>
        </w:rPr>
        <w:t xml:space="preserve"> </w:t>
      </w:r>
      <w:r w:rsidR="003B57E0">
        <w:rPr>
          <w:color w:val="000000"/>
        </w:rPr>
        <w:t>t</w:t>
      </w:r>
      <w:r w:rsidR="00390854">
        <w:rPr>
          <w:color w:val="000000"/>
        </w:rPr>
        <w:t>he</w:t>
      </w:r>
      <w:r w:rsidR="00B557A3">
        <w:rPr>
          <w:color w:val="000000"/>
        </w:rPr>
        <w:t xml:space="preserve"> full </w:t>
      </w:r>
      <w:r w:rsidR="00390854">
        <w:rPr>
          <w:color w:val="000000"/>
        </w:rPr>
        <w:t xml:space="preserve">increase in the domestic premium </w:t>
      </w:r>
      <w:r w:rsidR="00CD1C71">
        <w:rPr>
          <w:color w:val="000000"/>
        </w:rPr>
        <w:t xml:space="preserve">could also be </w:t>
      </w:r>
      <w:r w:rsidR="00390854">
        <w:rPr>
          <w:color w:val="000000"/>
        </w:rPr>
        <w:t>a sign that the closures in the Chinese iron ore mining industry have reached a limit where the remaining mines are maintained and supported by steel plants as a supply diversification measure.</w:t>
      </w:r>
      <w:r w:rsidR="004445D5">
        <w:rPr>
          <w:color w:val="000000"/>
        </w:rPr>
        <w:t xml:space="preserve"> A</w:t>
      </w:r>
      <w:r w:rsidR="00390854">
        <w:rPr>
          <w:color w:val="000000"/>
        </w:rPr>
        <w:t xml:space="preserve"> similar development took place in late 2008 at the beginning of the financial crisis. We estimate </w:t>
      </w:r>
      <w:r w:rsidR="00390854" w:rsidRPr="00E30DF7">
        <w:rPr>
          <w:color w:val="000000"/>
        </w:rPr>
        <w:t>that 100 Mt of</w:t>
      </w:r>
      <w:r w:rsidR="00390854">
        <w:rPr>
          <w:color w:val="000000"/>
        </w:rPr>
        <w:t xml:space="preserve"> Chinese iron ore mining capacity has closed since the beginning of 2014 and 200 Mt since early 2012. </w:t>
      </w:r>
    </w:p>
    <w:p w:rsidR="000539F8" w:rsidRPr="00081D4E" w:rsidRDefault="000539F8" w:rsidP="000539F8">
      <w:pPr>
        <w:pStyle w:val="Heading1"/>
        <w:spacing w:after="240"/>
        <w:jc w:val="center"/>
        <w:rPr>
          <w:i w:val="0"/>
          <w:iCs w:val="0"/>
        </w:rPr>
      </w:pPr>
      <w:bookmarkStart w:id="29" w:name="_Toc423946870"/>
      <w:r w:rsidRPr="00081D4E">
        <w:rPr>
          <w:i w:val="0"/>
          <w:iCs w:val="0"/>
        </w:rPr>
        <w:t xml:space="preserve">STEEL </w:t>
      </w:r>
      <w:bookmarkStart w:id="30" w:name="_GoBack"/>
      <w:bookmarkEnd w:id="29"/>
      <w:bookmarkEnd w:id="30"/>
    </w:p>
    <w:p w:rsidR="000539F8" w:rsidRDefault="000539F8" w:rsidP="000539F8">
      <w:pPr>
        <w:tabs>
          <w:tab w:val="left" w:pos="101"/>
          <w:tab w:val="left" w:pos="821"/>
          <w:tab w:val="left" w:pos="8597"/>
        </w:tabs>
        <w:spacing w:after="240"/>
        <w:jc w:val="both"/>
      </w:pPr>
      <w:r w:rsidRPr="000207AC">
        <w:t>After some improvement in 2013, world economic growth faltered in 2014, mainly because of a slowdown in China and other emerging economies, while the developed world continued the trend of weak growth. As a result, world crude steel production, which had inc</w:t>
      </w:r>
      <w:r w:rsidR="008A4601">
        <w:t xml:space="preserve">reased at a healthy rate of 5.8% </w:t>
      </w:r>
      <w:r w:rsidRPr="000207AC">
        <w:t>in 2013, grew by only 1.1</w:t>
      </w:r>
      <w:r w:rsidR="008A4601">
        <w:t>%</w:t>
      </w:r>
      <w:r w:rsidRPr="000207AC">
        <w:t xml:space="preserve"> in 2014. </w:t>
      </w:r>
    </w:p>
    <w:p w:rsidR="004445D5" w:rsidRPr="00E5198A" w:rsidRDefault="004445D5" w:rsidP="004445D5">
      <w:pPr>
        <w:tabs>
          <w:tab w:val="left" w:pos="101"/>
          <w:tab w:val="left" w:pos="821"/>
          <w:tab w:val="left" w:pos="8597"/>
        </w:tabs>
        <w:spacing w:after="240"/>
        <w:jc w:val="both"/>
        <w:rPr>
          <w:rFonts w:ascii="Arial" w:hAnsi="Arial" w:cs="Arial"/>
          <w:sz w:val="16"/>
          <w:szCs w:val="16"/>
        </w:rPr>
      </w:pPr>
      <w:r w:rsidRPr="00220A0A">
        <w:t>Unlike recent years, China did not account for most of the increase in production. Chinese crude steel output increased by 0.9</w:t>
      </w:r>
      <w:r w:rsidR="008A4601">
        <w:t>%</w:t>
      </w:r>
      <w:r w:rsidRPr="00220A0A">
        <w:t xml:space="preserve"> to 82</w:t>
      </w:r>
      <w:r>
        <w:t>3</w:t>
      </w:r>
      <w:r w:rsidRPr="00220A0A">
        <w:t xml:space="preserve"> Mt</w:t>
      </w:r>
      <w:r>
        <w:t xml:space="preserve"> in 2014</w:t>
      </w:r>
      <w:r w:rsidRPr="00220A0A">
        <w:t xml:space="preserve">. </w:t>
      </w:r>
      <w:r>
        <w:t xml:space="preserve">In 2015, growth in Chinese crude steel production turned negative, with output declining during the first five months. </w:t>
      </w:r>
      <w:r w:rsidRPr="00220A0A">
        <w:t>But in the rest of Asia it rose by 3.3</w:t>
      </w:r>
      <w:r w:rsidR="008A4601">
        <w:t>%</w:t>
      </w:r>
      <w:r w:rsidRPr="00220A0A">
        <w:t xml:space="preserve">, to 316 Mt. </w:t>
      </w:r>
    </w:p>
    <w:p w:rsidR="000539F8" w:rsidRPr="00190AC9" w:rsidRDefault="0098204B" w:rsidP="000539F8">
      <w:pPr>
        <w:pStyle w:val="BodyText"/>
        <w:tabs>
          <w:tab w:val="left" w:pos="245"/>
          <w:tab w:val="left" w:pos="605"/>
          <w:tab w:val="left" w:pos="9461"/>
        </w:tabs>
        <w:spacing w:after="240"/>
        <w:rPr>
          <w:bCs/>
          <w:iCs/>
        </w:rPr>
      </w:pPr>
      <w:r>
        <w:rPr>
          <w:bCs/>
          <w:iCs/>
        </w:rPr>
        <w:t>E</w:t>
      </w:r>
      <w:r w:rsidR="000539F8">
        <w:rPr>
          <w:bCs/>
          <w:iCs/>
        </w:rPr>
        <w:t>xcess capacity in the steel industry is growing. In 2014, the difference between capacity and production was 604 Mt, which implies a capacity utilization rate of only 73</w:t>
      </w:r>
      <w:r w:rsidR="008A4601">
        <w:rPr>
          <w:bCs/>
          <w:iCs/>
        </w:rPr>
        <w:t>%</w:t>
      </w:r>
      <w:r w:rsidR="000539F8">
        <w:rPr>
          <w:bCs/>
          <w:iCs/>
        </w:rPr>
        <w:t xml:space="preserve">. OECD projects capacity increases of just </w:t>
      </w:r>
      <w:proofErr w:type="gramStart"/>
      <w:r w:rsidR="000539F8" w:rsidRPr="00CD03BA">
        <w:rPr>
          <w:bCs/>
          <w:iCs/>
        </w:rPr>
        <w:t>under</w:t>
      </w:r>
      <w:proofErr w:type="gramEnd"/>
      <w:r w:rsidR="000539F8" w:rsidRPr="00CD03BA">
        <w:rPr>
          <w:bCs/>
          <w:iCs/>
        </w:rPr>
        <w:t xml:space="preserve"> 4</w:t>
      </w:r>
      <w:r w:rsidR="00CD03BA" w:rsidRPr="00CD03BA">
        <w:rPr>
          <w:bCs/>
          <w:iCs/>
        </w:rPr>
        <w:t>.0</w:t>
      </w:r>
      <w:r w:rsidR="000539F8" w:rsidRPr="00CD03BA">
        <w:rPr>
          <w:bCs/>
          <w:iCs/>
        </w:rPr>
        <w:t xml:space="preserve"> and 2</w:t>
      </w:r>
      <w:r w:rsidR="00CD03BA" w:rsidRPr="00CD03BA">
        <w:rPr>
          <w:bCs/>
          <w:iCs/>
        </w:rPr>
        <w:t>.0</w:t>
      </w:r>
      <w:r w:rsidR="008A4601" w:rsidRPr="00CD03BA">
        <w:rPr>
          <w:bCs/>
          <w:iCs/>
        </w:rPr>
        <w:t>%</w:t>
      </w:r>
      <w:r w:rsidR="000539F8" w:rsidRPr="00CD03BA">
        <w:rPr>
          <w:bCs/>
          <w:iCs/>
        </w:rPr>
        <w:t xml:space="preserve"> respectively</w:t>
      </w:r>
      <w:r w:rsidR="000539F8">
        <w:rPr>
          <w:bCs/>
          <w:iCs/>
        </w:rPr>
        <w:t xml:space="preserve"> in 2015 and 2016, which is likely to mean that the gap between capacity and production widens further.</w:t>
      </w:r>
      <w:r w:rsidR="000539F8" w:rsidRPr="00190AC9">
        <w:rPr>
          <w:bCs/>
          <w:iCs/>
        </w:rPr>
        <w:t xml:space="preserve"> </w:t>
      </w:r>
    </w:p>
    <w:p w:rsidR="000539F8" w:rsidRPr="00D05C19" w:rsidRDefault="000539F8" w:rsidP="000539F8">
      <w:pPr>
        <w:pStyle w:val="BodyText"/>
        <w:tabs>
          <w:tab w:val="left" w:pos="245"/>
          <w:tab w:val="left" w:pos="605"/>
          <w:tab w:val="left" w:pos="9461"/>
        </w:tabs>
        <w:spacing w:after="240"/>
        <w:rPr>
          <w:bCs/>
          <w:iCs/>
          <w:highlight w:val="yellow"/>
        </w:rPr>
      </w:pPr>
      <w:bookmarkStart w:id="31" w:name="_Toc297885181"/>
      <w:bookmarkStart w:id="32" w:name="_Toc299576217"/>
      <w:bookmarkStart w:id="33" w:name="_Toc328060644"/>
      <w:bookmarkStart w:id="34" w:name="_Toc328060980"/>
      <w:bookmarkStart w:id="35" w:name="_Toc328061349"/>
      <w:r w:rsidRPr="00FA71C0">
        <w:rPr>
          <w:bCs/>
          <w:iCs/>
        </w:rPr>
        <w:t xml:space="preserve">Steel use increased </w:t>
      </w:r>
      <w:r>
        <w:rPr>
          <w:bCs/>
          <w:iCs/>
        </w:rPr>
        <w:t>by 0.6</w:t>
      </w:r>
      <w:r w:rsidR="008A4601">
        <w:rPr>
          <w:bCs/>
          <w:iCs/>
        </w:rPr>
        <w:t>%</w:t>
      </w:r>
      <w:r>
        <w:rPr>
          <w:bCs/>
          <w:iCs/>
        </w:rPr>
        <w:t xml:space="preserve"> </w:t>
      </w:r>
      <w:r w:rsidRPr="00FA71C0">
        <w:rPr>
          <w:bCs/>
          <w:iCs/>
        </w:rPr>
        <w:t xml:space="preserve">in 2014, following </w:t>
      </w:r>
      <w:r>
        <w:rPr>
          <w:bCs/>
          <w:iCs/>
        </w:rPr>
        <w:t>a rise by 3.6</w:t>
      </w:r>
      <w:r w:rsidR="008A4601">
        <w:rPr>
          <w:bCs/>
          <w:iCs/>
        </w:rPr>
        <w:t>%</w:t>
      </w:r>
      <w:r>
        <w:rPr>
          <w:bCs/>
          <w:iCs/>
        </w:rPr>
        <w:t xml:space="preserve"> </w:t>
      </w:r>
      <w:r w:rsidRPr="00FA71C0">
        <w:rPr>
          <w:bCs/>
          <w:iCs/>
        </w:rPr>
        <w:t xml:space="preserve">in 2013. </w:t>
      </w:r>
      <w:r>
        <w:rPr>
          <w:bCs/>
          <w:iCs/>
        </w:rPr>
        <w:t>For once, demand increased more rapidly in Europe (4.5</w:t>
      </w:r>
      <w:r w:rsidR="008A4601">
        <w:rPr>
          <w:bCs/>
          <w:iCs/>
        </w:rPr>
        <w:t>%</w:t>
      </w:r>
      <w:r>
        <w:rPr>
          <w:bCs/>
          <w:iCs/>
        </w:rPr>
        <w:t xml:space="preserve"> in the EU) and North America (1</w:t>
      </w:r>
      <w:r w:rsidR="00A66B32">
        <w:rPr>
          <w:bCs/>
          <w:iCs/>
        </w:rPr>
        <w:t>2</w:t>
      </w:r>
      <w:r w:rsidR="008A4601">
        <w:rPr>
          <w:bCs/>
          <w:iCs/>
        </w:rPr>
        <w:t>%</w:t>
      </w:r>
      <w:r>
        <w:rPr>
          <w:bCs/>
          <w:iCs/>
        </w:rPr>
        <w:t xml:space="preserve"> in the United States) than in the rest of the world, illustrating that the recovery in the developed world has been offset by a weakening in emerging economies. </w:t>
      </w:r>
      <w:proofErr w:type="gramStart"/>
      <w:r>
        <w:rPr>
          <w:bCs/>
          <w:iCs/>
        </w:rPr>
        <w:t>Steel use in China declined by 3.3</w:t>
      </w:r>
      <w:r w:rsidR="008A4601">
        <w:rPr>
          <w:bCs/>
          <w:iCs/>
        </w:rPr>
        <w:t>%</w:t>
      </w:r>
      <w:r>
        <w:rPr>
          <w:bCs/>
          <w:iCs/>
        </w:rPr>
        <w:t xml:space="preserve"> in 2014 after having increased by 8.4</w:t>
      </w:r>
      <w:r w:rsidR="008A4601">
        <w:rPr>
          <w:bCs/>
          <w:iCs/>
        </w:rPr>
        <w:t>%</w:t>
      </w:r>
      <w:r>
        <w:rPr>
          <w:bCs/>
          <w:iCs/>
        </w:rPr>
        <w:t xml:space="preserve"> in 2013.</w:t>
      </w:r>
      <w:proofErr w:type="gramEnd"/>
      <w:r>
        <w:rPr>
          <w:bCs/>
          <w:iCs/>
        </w:rPr>
        <w:t xml:space="preserve"> Growth in emerging and developing countries excluding China was 2.3</w:t>
      </w:r>
      <w:r w:rsidR="008A4601">
        <w:rPr>
          <w:bCs/>
          <w:iCs/>
        </w:rPr>
        <w:t>%</w:t>
      </w:r>
      <w:r>
        <w:rPr>
          <w:bCs/>
          <w:iCs/>
        </w:rPr>
        <w:t xml:space="preserve">. </w:t>
      </w:r>
    </w:p>
    <w:p w:rsidR="000539F8" w:rsidRDefault="000539F8" w:rsidP="00F85FF1">
      <w:pPr>
        <w:pStyle w:val="Heading1"/>
        <w:spacing w:after="240"/>
        <w:jc w:val="center"/>
        <w:rPr>
          <w:b w:val="0"/>
          <w:iCs w:val="0"/>
        </w:rPr>
      </w:pPr>
      <w:bookmarkStart w:id="36" w:name="_Toc423946916"/>
      <w:bookmarkEnd w:id="31"/>
      <w:bookmarkEnd w:id="32"/>
      <w:bookmarkEnd w:id="33"/>
      <w:bookmarkEnd w:id="34"/>
      <w:bookmarkEnd w:id="35"/>
      <w:r w:rsidRPr="00A16C02">
        <w:rPr>
          <w:i w:val="0"/>
          <w:iCs w:val="0"/>
        </w:rPr>
        <w:t>COMPANIES</w:t>
      </w:r>
      <w:r w:rsidR="00851939">
        <w:rPr>
          <w:i w:val="0"/>
          <w:iCs w:val="0"/>
        </w:rPr>
        <w:t xml:space="preserve"> CONSOLIDATE</w:t>
      </w:r>
      <w:bookmarkEnd w:id="36"/>
    </w:p>
    <w:p w:rsidR="00A553AB" w:rsidRPr="00E6183E" w:rsidRDefault="00A553AB" w:rsidP="00A553AB">
      <w:pPr>
        <w:spacing w:after="240"/>
        <w:jc w:val="both"/>
      </w:pPr>
      <w:r w:rsidRPr="00E6183E">
        <w:t xml:space="preserve">The three largest </w:t>
      </w:r>
      <w:r w:rsidR="00496868">
        <w:t xml:space="preserve">iron ore </w:t>
      </w:r>
      <w:r w:rsidRPr="00E6183E">
        <w:t xml:space="preserve">companies, </w:t>
      </w:r>
      <w:r w:rsidR="00851939">
        <w:t xml:space="preserve">Brazilian </w:t>
      </w:r>
      <w:r w:rsidRPr="00E6183E">
        <w:t xml:space="preserve">Vale, Rio Tinto and BHP Billiton, the last two with most of their production in Australia, together controlled 39% of world production in 2014, the highest share ever. The market share of the "Big 3" increased from 36% in 2013. The increase is the result of new production being started mainly by Rio Tinto and BHP Billiton, but also of closures elsewhere in the world, particularly in China. </w:t>
      </w:r>
    </w:p>
    <w:p w:rsidR="00966D90" w:rsidRDefault="00A553AB" w:rsidP="00A553AB">
      <w:pPr>
        <w:spacing w:after="240"/>
        <w:jc w:val="both"/>
      </w:pPr>
      <w:r w:rsidRPr="00E6183E">
        <w:rPr>
          <w:bCs/>
        </w:rPr>
        <w:lastRenderedPageBreak/>
        <w:t>Vale</w:t>
      </w:r>
      <w:r w:rsidRPr="00E6183E">
        <w:t xml:space="preserve"> remains the world’s largest iron ore producer at 319 Mt in 2014 (up from 311 Mt in 2013 but down marginally from the all-time high of 323 Mt</w:t>
      </w:r>
      <w:r w:rsidRPr="00742B4E">
        <w:t xml:space="preserve"> in 2011). Its </w:t>
      </w:r>
      <w:r>
        <w:t xml:space="preserve">market share fell slightly </w:t>
      </w:r>
      <w:proofErr w:type="gramStart"/>
      <w:r>
        <w:t>to</w:t>
      </w:r>
      <w:proofErr w:type="gramEnd"/>
      <w:r w:rsidR="00A66B32">
        <w:t xml:space="preserve"> just under</w:t>
      </w:r>
      <w:r>
        <w:t xml:space="preserve"> 16% (down from </w:t>
      </w:r>
      <w:r w:rsidR="00A66B32">
        <w:t xml:space="preserve">just over </w:t>
      </w:r>
      <w:r>
        <w:t>16% in 2013</w:t>
      </w:r>
      <w:r w:rsidRPr="00742B4E">
        <w:t xml:space="preserve">, and </w:t>
      </w:r>
      <w:r>
        <w:t xml:space="preserve">from </w:t>
      </w:r>
      <w:r w:rsidRPr="00742B4E">
        <w:t>the peak of 1</w:t>
      </w:r>
      <w:r w:rsidR="00A66B32">
        <w:t>9</w:t>
      </w:r>
      <w:r w:rsidRPr="00742B4E">
        <w:t xml:space="preserve">% in 2007). </w:t>
      </w:r>
      <w:r>
        <w:t xml:space="preserve">In 2013 </w:t>
      </w:r>
      <w:r w:rsidRPr="00E6183E">
        <w:t>BHP Billiton</w:t>
      </w:r>
      <w:r>
        <w:t xml:space="preserve"> recaptured second position and pushed Rio Tinto down to third place. </w:t>
      </w:r>
      <w:r w:rsidR="006F56D9">
        <w:t xml:space="preserve">BHP Billiton had been expelled from its traditional position as number two in 2000 when Rio acquired </w:t>
      </w:r>
      <w:proofErr w:type="gramStart"/>
      <w:r w:rsidR="006F56D9">
        <w:t>North</w:t>
      </w:r>
      <w:proofErr w:type="gramEnd"/>
      <w:r w:rsidR="006F56D9">
        <w:t xml:space="preserve">. </w:t>
      </w:r>
      <w:r>
        <w:t>In tonnage terms the gap between number one and two</w:t>
      </w:r>
      <w:r w:rsidRPr="00742B4E">
        <w:t xml:space="preserve"> decreased as </w:t>
      </w:r>
      <w:r>
        <w:t xml:space="preserve">BHP Billiton increased its production to 253.5 Mt and a market share of 12%. BHP Billiton has grown stronger than its two main competitors in the past years and gained market shares. </w:t>
      </w:r>
      <w:r w:rsidRPr="00E6183E">
        <w:t>Rio Tinto</w:t>
      </w:r>
      <w:r w:rsidRPr="00742B4E">
        <w:t xml:space="preserve"> increased production by </w:t>
      </w:r>
      <w:r>
        <w:t>14</w:t>
      </w:r>
      <w:r w:rsidRPr="00742B4E">
        <w:t xml:space="preserve">% to reach </w:t>
      </w:r>
      <w:r w:rsidRPr="00A350EE">
        <w:t xml:space="preserve">234 Mt in 2014 and increased its market share to 11%. </w:t>
      </w:r>
      <w:bookmarkStart w:id="37" w:name="_Toc328060687"/>
      <w:bookmarkStart w:id="38" w:name="_Toc328061022"/>
      <w:bookmarkStart w:id="39" w:name="_Toc423946919"/>
    </w:p>
    <w:p w:rsidR="00A553AB" w:rsidRDefault="00A553AB" w:rsidP="00A553AB">
      <w:pPr>
        <w:spacing w:after="240"/>
        <w:jc w:val="both"/>
      </w:pPr>
      <w:r w:rsidRPr="00A350EE">
        <w:t>Corporate concentration in the iron ore industry in 201</w:t>
      </w:r>
      <w:r w:rsidR="006B3DE1">
        <w:t>4</w:t>
      </w:r>
      <w:r w:rsidRPr="00A350EE">
        <w:t xml:space="preserve"> increased at the level of the 3 and 10 largest companies to reach new record levels at 39 and 6</w:t>
      </w:r>
      <w:r w:rsidR="00A66B32">
        <w:t>1</w:t>
      </w:r>
      <w:r w:rsidRPr="00A350EE">
        <w:t>% respectively of world production. The consolidation process has gone by leaps and bounds. The pace was slow in periods of only organic growth, such as in the late 1990s, but was much faster in times of intensive mergers</w:t>
      </w:r>
      <w:r w:rsidRPr="00742B4E">
        <w:t xml:space="preserve"> and acquisitions (M&amp;A) activities, for instance, in 1997 and also between 2000 and 2003. </w:t>
      </w:r>
      <w:r>
        <w:t xml:space="preserve">In the most recent years it is again strong organic growth which has fuelled concentration and it </w:t>
      </w:r>
      <w:r w:rsidRPr="00A350EE">
        <w:t xml:space="preserve">will continue when Vale‘s expansion program continues </w:t>
      </w:r>
      <w:r>
        <w:t>during</w:t>
      </w:r>
      <w:r w:rsidRPr="00A350EE">
        <w:t xml:space="preserve"> the next few years.</w:t>
      </w:r>
      <w:r w:rsidR="00496868">
        <w:t xml:space="preserve"> </w:t>
      </w:r>
      <w:proofErr w:type="gramStart"/>
      <w:r w:rsidR="00496868">
        <w:t>Figure 2.</w:t>
      </w:r>
      <w:proofErr w:type="gramEnd"/>
    </w:p>
    <w:p w:rsidR="00A553AB" w:rsidRPr="00A350EE" w:rsidRDefault="00A553AB" w:rsidP="00A553AB">
      <w:pPr>
        <w:tabs>
          <w:tab w:val="left" w:pos="720"/>
        </w:tabs>
        <w:spacing w:after="240"/>
        <w:jc w:val="both"/>
      </w:pPr>
      <w:r w:rsidRPr="00A350EE">
        <w:t>An alternative way to measure the control of the global iron ore industry is to monitor the share of global seaborne trade of the leading producing companies. Arguably, this method measures real market influence more accurately, since it excludes most captive production. Measured this way, the shares of the major companies are considerably higher than if they are estimated on the basis of production: Vale alone controls 2</w:t>
      </w:r>
      <w:r w:rsidR="00A66B32">
        <w:t>1</w:t>
      </w:r>
      <w:r w:rsidRPr="00A350EE">
        <w:t>% of the total world market for seaborne iron ore trade and the 3 largest companies control 57%. The share of Vale, the largest exporter, declined in 2014. The total share controlled by the “Big 3” is now almost back at the level of 60% attained in 2009</w:t>
      </w:r>
      <w:r w:rsidR="00F85FF1">
        <w:t xml:space="preserve"> and their share is set to grow.</w:t>
      </w:r>
      <w:r w:rsidRPr="00A350EE">
        <w:t xml:space="preserve"> </w:t>
      </w:r>
    </w:p>
    <w:bookmarkEnd w:id="37"/>
    <w:bookmarkEnd w:id="38"/>
    <w:bookmarkEnd w:id="39"/>
    <w:p w:rsidR="00A553AB" w:rsidRPr="00742B4E" w:rsidRDefault="00A553AB" w:rsidP="00A553AB">
      <w:pPr>
        <w:spacing w:after="240"/>
        <w:jc w:val="both"/>
      </w:pPr>
    </w:p>
    <w:p w:rsidR="00E024ED" w:rsidRDefault="000539F8" w:rsidP="000539F8">
      <w:pPr>
        <w:jc w:val="center"/>
        <w:rPr>
          <w:b/>
        </w:rPr>
      </w:pPr>
      <w:r w:rsidRPr="00A16C02">
        <w:rPr>
          <w:b/>
        </w:rPr>
        <w:t>PROJECT</w:t>
      </w:r>
      <w:r w:rsidR="00F85FF1">
        <w:rPr>
          <w:b/>
        </w:rPr>
        <w:t>S</w:t>
      </w:r>
    </w:p>
    <w:p w:rsidR="00A55F7F" w:rsidRPr="00A16C02" w:rsidRDefault="00A55F7F" w:rsidP="000539F8">
      <w:pPr>
        <w:jc w:val="center"/>
        <w:rPr>
          <w:b/>
        </w:rPr>
      </w:pPr>
    </w:p>
    <w:p w:rsidR="00A55F7F" w:rsidRDefault="00A55F7F" w:rsidP="000539F8">
      <w:pPr>
        <w:tabs>
          <w:tab w:val="left" w:pos="720"/>
        </w:tabs>
        <w:spacing w:after="240"/>
        <w:jc w:val="both"/>
      </w:pPr>
      <w:r>
        <w:t xml:space="preserve">At </w:t>
      </w:r>
      <w:r w:rsidR="000539F8" w:rsidRPr="00A16C02">
        <w:t>the global level, the “Big 3” ha</w:t>
      </w:r>
      <w:r>
        <w:t>ve</w:t>
      </w:r>
      <w:r w:rsidR="000539F8" w:rsidRPr="00A16C02">
        <w:t xml:space="preserve"> faced increased competition in recent years</w:t>
      </w:r>
      <w:r>
        <w:t>. I</w:t>
      </w:r>
      <w:r w:rsidR="000539F8" w:rsidRPr="00A16C02">
        <w:t>n the short to medium term</w:t>
      </w:r>
      <w:r>
        <w:t>, however,</w:t>
      </w:r>
      <w:r w:rsidR="000539F8" w:rsidRPr="00A16C02">
        <w:t xml:space="preserve"> the</w:t>
      </w:r>
      <w:r>
        <w:t xml:space="preserve">y are tightening </w:t>
      </w:r>
      <w:r w:rsidR="000539F8" w:rsidRPr="00A16C02">
        <w:t>their grip on the iron ore industry</w:t>
      </w:r>
      <w:r>
        <w:t xml:space="preserve">, with all of them simultaneously </w:t>
      </w:r>
      <w:r w:rsidR="000539F8" w:rsidRPr="00A61109">
        <w:t xml:space="preserve">expanding production </w:t>
      </w:r>
      <w:r>
        <w:t>a</w:t>
      </w:r>
      <w:r w:rsidR="000539F8" w:rsidRPr="00A61109">
        <w:t xml:space="preserve">nd </w:t>
      </w:r>
      <w:r>
        <w:t xml:space="preserve">cutting </w:t>
      </w:r>
      <w:r w:rsidR="000539F8" w:rsidRPr="00A61109">
        <w:t>cash cost</w:t>
      </w:r>
      <w:r>
        <w:t>s</w:t>
      </w:r>
      <w:r w:rsidR="000539F8" w:rsidRPr="00A61109">
        <w:t xml:space="preserve">. The </w:t>
      </w:r>
      <w:r>
        <w:t xml:space="preserve">high investment cost </w:t>
      </w:r>
      <w:r w:rsidR="000539F8" w:rsidRPr="00A61109">
        <w:t xml:space="preserve">makes it difficult for companies without large financial resources to enter </w:t>
      </w:r>
      <w:r>
        <w:t>iron ore production</w:t>
      </w:r>
      <w:r w:rsidR="000539F8" w:rsidRPr="00A61109">
        <w:t>. Iron ore projects are often burdened with investments in transport infrastructure, frequently constituting the major part of the investment costs. Therefore, in addition to financial strength, the established producers have advantages that decrease their marginal costs of expansion.</w:t>
      </w:r>
      <w:r w:rsidR="00A66B32">
        <w:t xml:space="preserve"> </w:t>
      </w:r>
      <w:r>
        <w:t>T</w:t>
      </w:r>
      <w:r w:rsidR="000539F8" w:rsidRPr="00A61109">
        <w:t xml:space="preserve">hey are able to expand existing operations, often through relatively minor additional investments in upgrading their transport systems. </w:t>
      </w:r>
      <w:r>
        <w:t>Moreover,</w:t>
      </w:r>
      <w:r w:rsidR="000539F8" w:rsidRPr="00A61109">
        <w:t xml:space="preserve"> they can open up new deposits close to existing mines, thus reducing the costs by expanding already existing process plants. </w:t>
      </w:r>
    </w:p>
    <w:p w:rsidR="000539F8" w:rsidRPr="006700D5" w:rsidRDefault="000539F8" w:rsidP="00282BDA">
      <w:pPr>
        <w:tabs>
          <w:tab w:val="left" w:pos="720"/>
        </w:tabs>
        <w:spacing w:after="240"/>
        <w:jc w:val="both"/>
      </w:pPr>
      <w:r w:rsidRPr="007603B6">
        <w:t>As of May 2015, the total project pipeline contained 743 Mt of new production capacity to come on stream between 2015 and 2017</w:t>
      </w:r>
      <w:r w:rsidR="00DA4600">
        <w:t>, however many of these projects will not come on stream within the timeframe given</w:t>
      </w:r>
      <w:r w:rsidRPr="007603B6">
        <w:t xml:space="preserve">. </w:t>
      </w:r>
    </w:p>
    <w:p w:rsidR="000539F8" w:rsidRPr="0027420F" w:rsidRDefault="000539F8" w:rsidP="000539F8">
      <w:pPr>
        <w:pStyle w:val="Heading1"/>
        <w:jc w:val="center"/>
        <w:rPr>
          <w:i w:val="0"/>
          <w:iCs w:val="0"/>
        </w:rPr>
      </w:pPr>
      <w:bookmarkStart w:id="40" w:name="_Toc328060689"/>
      <w:bookmarkStart w:id="41" w:name="_Toc328061024"/>
      <w:bookmarkStart w:id="42" w:name="_Toc423946921"/>
      <w:r w:rsidRPr="0027420F">
        <w:rPr>
          <w:i w:val="0"/>
          <w:iCs w:val="0"/>
        </w:rPr>
        <w:t>THE OUTLOOK FOR 201</w:t>
      </w:r>
      <w:r>
        <w:rPr>
          <w:i w:val="0"/>
          <w:iCs w:val="0"/>
        </w:rPr>
        <w:t>5</w:t>
      </w:r>
      <w:r w:rsidRPr="0027420F">
        <w:rPr>
          <w:i w:val="0"/>
          <w:iCs w:val="0"/>
        </w:rPr>
        <w:t xml:space="preserve"> AND 201</w:t>
      </w:r>
      <w:r>
        <w:rPr>
          <w:i w:val="0"/>
          <w:iCs w:val="0"/>
        </w:rPr>
        <w:t>6</w:t>
      </w:r>
      <w:bookmarkEnd w:id="40"/>
      <w:bookmarkEnd w:id="41"/>
      <w:bookmarkEnd w:id="42"/>
    </w:p>
    <w:p w:rsidR="000539F8" w:rsidRPr="00F82893" w:rsidRDefault="000539F8" w:rsidP="000539F8">
      <w:pPr>
        <w:rPr>
          <w:highlight w:val="yellow"/>
        </w:rPr>
      </w:pPr>
    </w:p>
    <w:p w:rsidR="000539F8" w:rsidRPr="00A16C02" w:rsidRDefault="000539F8" w:rsidP="000539F8">
      <w:pPr>
        <w:pStyle w:val="Heading2"/>
        <w:spacing w:after="240"/>
        <w:rPr>
          <w:rFonts w:ascii="Times New Roman" w:hAnsi="Times New Roman"/>
          <w:b w:val="0"/>
          <w:i/>
        </w:rPr>
      </w:pPr>
      <w:bookmarkStart w:id="43" w:name="_Toc423946922"/>
      <w:bookmarkStart w:id="44" w:name="_Toc328060690"/>
      <w:bookmarkStart w:id="45" w:name="_Toc328061025"/>
      <w:bookmarkStart w:id="46" w:name="_Toc328061394"/>
      <w:r w:rsidRPr="00A16C02">
        <w:rPr>
          <w:rFonts w:ascii="Times New Roman" w:hAnsi="Times New Roman"/>
          <w:b w:val="0"/>
          <w:i/>
        </w:rPr>
        <w:lastRenderedPageBreak/>
        <w:t>STEEL</w:t>
      </w:r>
      <w:bookmarkEnd w:id="43"/>
    </w:p>
    <w:p w:rsidR="000539F8" w:rsidRPr="00C60788" w:rsidRDefault="000539F8" w:rsidP="00E5198A">
      <w:pPr>
        <w:widowControl w:val="0"/>
        <w:autoSpaceDE w:val="0"/>
        <w:autoSpaceDN w:val="0"/>
        <w:adjustRightInd w:val="0"/>
        <w:spacing w:after="240"/>
        <w:jc w:val="both"/>
        <w:rPr>
          <w:lang w:eastAsia="sv-SE"/>
        </w:rPr>
      </w:pPr>
      <w:r w:rsidRPr="00BB00C4">
        <w:t xml:space="preserve">Projections for world GDP growth have been cut back and the consensus is now for relatively modest growth </w:t>
      </w:r>
      <w:r w:rsidR="00E5198A">
        <w:t xml:space="preserve">in </w:t>
      </w:r>
      <w:r w:rsidRPr="00BB00C4">
        <w:t xml:space="preserve">both 2015 and 2016. </w:t>
      </w:r>
      <w:r w:rsidRPr="00BB00C4">
        <w:rPr>
          <w:lang w:val="en-US"/>
        </w:rPr>
        <w:t>In th</w:t>
      </w:r>
      <w:r w:rsidR="006F56D9">
        <w:rPr>
          <w:lang w:val="en-US"/>
        </w:rPr>
        <w:t>e April 2015</w:t>
      </w:r>
      <w:r w:rsidRPr="00BB00C4">
        <w:rPr>
          <w:lang w:val="en-US"/>
        </w:rPr>
        <w:t xml:space="preserve"> World Economic Outlook, </w:t>
      </w:r>
      <w:r w:rsidR="006F56D9">
        <w:rPr>
          <w:lang w:val="en-US"/>
        </w:rPr>
        <w:t>by the IMF</w:t>
      </w:r>
      <w:r w:rsidRPr="00BB00C4">
        <w:rPr>
          <w:lang w:val="en-US"/>
        </w:rPr>
        <w:t>, the forecast for world economic growth in 2015 is 3.5</w:t>
      </w:r>
      <w:r w:rsidR="00282BDA">
        <w:rPr>
          <w:lang w:val="en-US"/>
        </w:rPr>
        <w:t>%</w:t>
      </w:r>
      <w:r w:rsidRPr="00BB00C4">
        <w:rPr>
          <w:lang w:val="en-US"/>
        </w:rPr>
        <w:t xml:space="preserve">. </w:t>
      </w:r>
      <w:r w:rsidRPr="00BB00C4">
        <w:t>R</w:t>
      </w:r>
      <w:r w:rsidRPr="00BB00C4">
        <w:rPr>
          <w:iCs/>
          <w:lang w:eastAsia="sv-SE"/>
        </w:rPr>
        <w:t>elative to last year, the outlook for advanced economies is improving, while growth in emerging market and developing economies is projected to be lower, primarily reflecting weaker prospects for some large emerging market economies and oil-exporting countries. Growth in 2016 is forecast at 3.8</w:t>
      </w:r>
      <w:r w:rsidR="00282BDA">
        <w:rPr>
          <w:iCs/>
          <w:lang w:eastAsia="sv-SE"/>
        </w:rPr>
        <w:t>%</w:t>
      </w:r>
      <w:r w:rsidRPr="00BB00C4">
        <w:rPr>
          <w:iCs/>
          <w:lang w:eastAsia="sv-SE"/>
        </w:rPr>
        <w:t xml:space="preserve">, </w:t>
      </w:r>
      <w:r w:rsidRPr="00BB00C4">
        <w:rPr>
          <w:lang w:eastAsia="sv-SE"/>
        </w:rPr>
        <w:t xml:space="preserve">mostly reflecting some waning of downward pressures on activity in countries </w:t>
      </w:r>
      <w:r w:rsidRPr="00C60788">
        <w:rPr>
          <w:lang w:eastAsia="sv-SE"/>
        </w:rPr>
        <w:t>and regions with weak growth in 2015, such as Russia, Brazil, and the rest of Latin America.</w:t>
      </w:r>
    </w:p>
    <w:p w:rsidR="000539F8" w:rsidRDefault="00282BDA" w:rsidP="000539F8">
      <w:pPr>
        <w:autoSpaceDE w:val="0"/>
        <w:autoSpaceDN w:val="0"/>
        <w:adjustRightInd w:val="0"/>
        <w:spacing w:after="240"/>
        <w:jc w:val="both"/>
      </w:pPr>
      <w:r w:rsidRPr="00C60788">
        <w:t>G</w:t>
      </w:r>
      <w:r w:rsidR="000539F8" w:rsidRPr="00C60788">
        <w:t>rowth in world steel production has come to a halt and in China it is so far this year</w:t>
      </w:r>
      <w:r w:rsidR="001D4938">
        <w:t xml:space="preserve"> negative</w:t>
      </w:r>
      <w:r w:rsidR="000539F8" w:rsidRPr="00C60788">
        <w:t>. A scenario according to which both steel demand and production in China will peak this year and then decline appears to be gathering support. The scenario is based</w:t>
      </w:r>
      <w:r w:rsidR="000539F8">
        <w:t xml:space="preserve"> on the apparently very rapid reorientation of Chinese growth. As we have argued in previous years, it is not the slowdown in Chinese growth </w:t>
      </w:r>
      <w:r w:rsidR="000539F8" w:rsidRPr="00A472A3">
        <w:rPr>
          <w:i/>
        </w:rPr>
        <w:t>per se</w:t>
      </w:r>
      <w:r w:rsidR="000539F8">
        <w:t xml:space="preserve"> that would lead to slower steel demand growth, but rather the reduced share of investment in Chinese GDP. This reduction is now happening and more rapidly than most observers would have believed. Since investment is much more steel intensive than consumption, the shift has a dramatic impact on demand for steel.</w:t>
      </w:r>
    </w:p>
    <w:p w:rsidR="000539F8" w:rsidRPr="005A6CEB" w:rsidRDefault="000539F8" w:rsidP="000539F8">
      <w:pPr>
        <w:spacing w:after="240"/>
        <w:jc w:val="both"/>
      </w:pPr>
      <w:r w:rsidRPr="00C60788">
        <w:t>The World Steel Association’s short term forecast for world steel use, presented in April 2015, anticipates a rise in world steel use by 0.5</w:t>
      </w:r>
      <w:r w:rsidR="00B511D0" w:rsidRPr="00C60788">
        <w:t>%</w:t>
      </w:r>
      <w:r w:rsidRPr="00C60788">
        <w:t xml:space="preserve"> in 2015, followed by an increase of 1.4</w:t>
      </w:r>
      <w:r w:rsidR="00B511D0" w:rsidRPr="00C60788">
        <w:t>%</w:t>
      </w:r>
      <w:r w:rsidRPr="00C60788">
        <w:t xml:space="preserve"> in 2016.</w:t>
      </w:r>
      <w:r w:rsidRPr="005A6CEB">
        <w:t xml:space="preserve"> </w:t>
      </w:r>
    </w:p>
    <w:p w:rsidR="00DD4A81" w:rsidRPr="00FA112A" w:rsidRDefault="00DD4A81" w:rsidP="00DD4A81">
      <w:pPr>
        <w:spacing w:after="240"/>
        <w:jc w:val="both"/>
      </w:pPr>
      <w:r w:rsidRPr="00FA112A">
        <w:t xml:space="preserve">It is important to underline that assumptions concerning China are absolutely decisive for the outcome, given its weight on the global steel market. Therefore, the successful reorientation of Chinese growth is essential both to the health of the world economy and to continued steel demand growth. </w:t>
      </w:r>
      <w:r w:rsidRPr="000344F1">
        <w:t xml:space="preserve">We project annual growth in China’s crude steel </w:t>
      </w:r>
      <w:r w:rsidRPr="00DB7983">
        <w:t>production to be 0</w:t>
      </w:r>
      <w:r>
        <w:t>.5</w:t>
      </w:r>
      <w:r w:rsidRPr="00DB7983">
        <w:t>%</w:t>
      </w:r>
      <w:r>
        <w:t xml:space="preserve"> in 2015 followed by a period with slightly higher growth at 1% </w:t>
      </w:r>
      <w:r w:rsidRPr="00DB7983">
        <w:t>over the period 201</w:t>
      </w:r>
      <w:r>
        <w:t>6</w:t>
      </w:r>
      <w:r w:rsidRPr="00DB7983">
        <w:t xml:space="preserve">-2017, while steel production in the rest of the world would grow at a rate of </w:t>
      </w:r>
      <w:r>
        <w:t>1.5-</w:t>
      </w:r>
      <w:r w:rsidRPr="00DB7983">
        <w:t xml:space="preserve">2.0% per year. This means that we do not agree with the </w:t>
      </w:r>
      <w:r>
        <w:t xml:space="preserve">view that China has reached “peak steel”. Although steel demand growth in China may be weak over the next few years and might even turn negative if the change in the growth mode happens faster than expected, healthy growth in consumer demand will support an increase in steel use. </w:t>
      </w:r>
    </w:p>
    <w:p w:rsidR="00BB2184" w:rsidRPr="00FA112A" w:rsidRDefault="00BB2184" w:rsidP="000539F8">
      <w:pPr>
        <w:spacing w:after="240"/>
        <w:jc w:val="both"/>
      </w:pPr>
    </w:p>
    <w:p w:rsidR="000539F8" w:rsidRPr="00A16C02" w:rsidRDefault="000539F8" w:rsidP="000539F8">
      <w:pPr>
        <w:pStyle w:val="Heading1"/>
        <w:spacing w:after="240"/>
        <w:jc w:val="center"/>
        <w:rPr>
          <w:b w:val="0"/>
          <w:iCs w:val="0"/>
          <w:caps/>
        </w:rPr>
      </w:pPr>
      <w:bookmarkStart w:id="47" w:name="_Toc423946923"/>
      <w:bookmarkStart w:id="48" w:name="_Toc328060691"/>
      <w:bookmarkStart w:id="49" w:name="_Toc328061026"/>
      <w:bookmarkStart w:id="50" w:name="_Toc328061395"/>
      <w:bookmarkEnd w:id="44"/>
      <w:bookmarkEnd w:id="45"/>
      <w:bookmarkEnd w:id="46"/>
      <w:r w:rsidRPr="00A16C02">
        <w:rPr>
          <w:b w:val="0"/>
          <w:iCs w:val="0"/>
          <w:caps/>
        </w:rPr>
        <w:t xml:space="preserve">Outlook </w:t>
      </w:r>
      <w:bookmarkEnd w:id="47"/>
    </w:p>
    <w:p w:rsidR="000539F8" w:rsidRDefault="000539F8" w:rsidP="000539F8">
      <w:pPr>
        <w:spacing w:after="240"/>
        <w:jc w:val="both"/>
      </w:pPr>
      <w:r>
        <w:t>Events over the past months</w:t>
      </w:r>
      <w:r w:rsidRPr="00EA3694">
        <w:t xml:space="preserve"> can be described as a correction of a market where prices had lost contact with costs or, alternatively, as the consequence of a massive miscalculation on the part of the large iron ore mining companies. </w:t>
      </w:r>
    </w:p>
    <w:p w:rsidR="000539F8" w:rsidRDefault="000539F8" w:rsidP="000539F8">
      <w:pPr>
        <w:spacing w:after="240"/>
        <w:jc w:val="both"/>
      </w:pPr>
      <w:r>
        <w:t xml:space="preserve">The first description is valid insofar as it is proving possible to supply the world’s steel producers with iron ore at prices much lower than those that have prevailed over the past several years. According to this interpretation of the developments, the world iron ore market is now going through a much needed restructuring which includes the closure of inefficient production capacity and the elimination of mines that were wasting capital. The industry cost curve is flattening and as a result, users of iron ore and processed products will no longer have </w:t>
      </w:r>
      <w:r>
        <w:lastRenderedPageBreak/>
        <w:t>to pay prices that have been inflated by a shortage brought on by a rapid expansion of demand and which resulted in income transfers to the owners of mines who could benefit from vast economic rents.</w:t>
      </w:r>
    </w:p>
    <w:p w:rsidR="000539F8" w:rsidRDefault="000539F8" w:rsidP="000539F8">
      <w:pPr>
        <w:spacing w:after="240"/>
        <w:jc w:val="both"/>
      </w:pPr>
      <w:r>
        <w:t>The second interpretation takes as its starting point that the three largest iron ore producers brought on more new capacity than the market could absorb, all of them apparently underestimating the capacity additions of their competitors. The implication of this interpretation is that the process of capacity closure may go too far and that shortages may materialize in the future.</w:t>
      </w:r>
    </w:p>
    <w:p w:rsidR="000539F8" w:rsidRPr="00EA3694" w:rsidRDefault="000539F8" w:rsidP="000539F8">
      <w:pPr>
        <w:spacing w:after="240"/>
        <w:jc w:val="both"/>
      </w:pPr>
      <w:r>
        <w:t xml:space="preserve">Which interpretation is closer to reality may only become clear with the passing of time. What is clear, however, is that, regardless of which interpretation is right, the three largest producers have strengthened their market position. It is also clear that other producers will find it difficult to finance expansions or new mining projects. Producers in </w:t>
      </w:r>
      <w:r w:rsidR="005E70CB">
        <w:t xml:space="preserve">for example </w:t>
      </w:r>
      <w:r>
        <w:t>Africa</w:t>
      </w:r>
      <w:r w:rsidR="00DB7983">
        <w:t xml:space="preserve"> and Canada</w:t>
      </w:r>
      <w:r>
        <w:t>, who seemed to have a bright future a couple of years ago, will have to struggle to realize their plans</w:t>
      </w:r>
      <w:r w:rsidR="00FB5E7E">
        <w:t xml:space="preserve"> </w:t>
      </w:r>
      <w:r w:rsidR="00CB4B7C">
        <w:t>however</w:t>
      </w:r>
      <w:r w:rsidR="00FB5E7E">
        <w:t xml:space="preserve"> the hardships </w:t>
      </w:r>
      <w:r w:rsidR="005E70CB">
        <w:t>is not limited to these areas</w:t>
      </w:r>
      <w:r w:rsidR="00FB5E7E">
        <w:t xml:space="preserve"> but</w:t>
      </w:r>
      <w:r w:rsidR="005E70CB">
        <w:t xml:space="preserve"> affects the world</w:t>
      </w:r>
      <w:r w:rsidR="00FB5E7E">
        <w:t xml:space="preserve"> in </w:t>
      </w:r>
      <w:r w:rsidR="00CB4B7C">
        <w:t>its entirety</w:t>
      </w:r>
      <w:r w:rsidR="005E70CB">
        <w:t>.</w:t>
      </w:r>
    </w:p>
    <w:p w:rsidR="000539F8" w:rsidRPr="00650986" w:rsidRDefault="000539F8" w:rsidP="000539F8">
      <w:pPr>
        <w:spacing w:after="240"/>
        <w:jc w:val="both"/>
      </w:pPr>
      <w:r w:rsidRPr="00296D6E">
        <w:t xml:space="preserve">Given the trend break in Chinese steel use it is no longer justified to assume, as we have done in the past, that the relationship between iron ore demand and crude steel production will remain unchanged. </w:t>
      </w:r>
      <w:r>
        <w:t>Since scrap availability is a function of past steel use, we would expect the share of scrap in Chinese steel production to rise. This tendency seems to be confirmed by our estimates of Chinese iron ore production, which can only be reconciled with data on imports and pig iron production if scrap use in China has increased substantially</w:t>
      </w:r>
      <w:r w:rsidRPr="00DE5917">
        <w:t>, from 9</w:t>
      </w:r>
      <w:r w:rsidR="00DE5917" w:rsidRPr="00DE5917">
        <w:t>.0</w:t>
      </w:r>
      <w:r w:rsidR="00B511D0" w:rsidRPr="00DE5917">
        <w:t>%</w:t>
      </w:r>
      <w:r w:rsidRPr="00DE5917">
        <w:t xml:space="preserve"> of</w:t>
      </w:r>
      <w:r>
        <w:t xml:space="preserve"> crude steel production in 2012 to 15</w:t>
      </w:r>
      <w:r w:rsidR="00B511D0">
        <w:t>%</w:t>
      </w:r>
      <w:r>
        <w:t xml:space="preserve"> in 2014. Accordingly, </w:t>
      </w:r>
      <w:r w:rsidRPr="00597008">
        <w:t>we estimate that iron ore use</w:t>
      </w:r>
      <w:r>
        <w:t xml:space="preserve"> in China over the next three years will be constant, with the projected increase in crude steel production being provisioned by scrap. In the rest of the world, we </w:t>
      </w:r>
      <w:r w:rsidRPr="00650986">
        <w:t xml:space="preserve">estimate that iron ore use will grow at the same rate as steel </w:t>
      </w:r>
      <w:r w:rsidRPr="00CD03BA">
        <w:t>use, or by 2</w:t>
      </w:r>
      <w:r w:rsidR="00CD03BA" w:rsidRPr="00CD03BA">
        <w:t>.0</w:t>
      </w:r>
      <w:r w:rsidR="008A4601" w:rsidRPr="00CD03BA">
        <w:t>%</w:t>
      </w:r>
      <w:r w:rsidRPr="00650986">
        <w:t xml:space="preserve"> per year. The result</w:t>
      </w:r>
      <w:r>
        <w:t>in</w:t>
      </w:r>
      <w:r w:rsidRPr="00650986">
        <w:t xml:space="preserve">g demand for </w:t>
      </w:r>
      <w:r>
        <w:t>iron ore would then increase fr</w:t>
      </w:r>
      <w:r w:rsidRPr="00650986">
        <w:t>om 2048 Mt in 2014 to 2067 Mt in 2015 and 2087 Mt in 2016.</w:t>
      </w:r>
    </w:p>
    <w:bookmarkEnd w:id="48"/>
    <w:bookmarkEnd w:id="49"/>
    <w:bookmarkEnd w:id="50"/>
    <w:p w:rsidR="000539F8" w:rsidRPr="006700D5" w:rsidRDefault="000539F8" w:rsidP="000539F8">
      <w:pPr>
        <w:tabs>
          <w:tab w:val="left" w:pos="720"/>
        </w:tabs>
        <w:spacing w:after="240"/>
        <w:jc w:val="both"/>
      </w:pPr>
      <w:r w:rsidRPr="009723BD">
        <w:t xml:space="preserve">There are a large number of </w:t>
      </w:r>
      <w:r>
        <w:t xml:space="preserve">iron ore mining </w:t>
      </w:r>
      <w:r w:rsidRPr="009723BD">
        <w:t>projects in the investment pipeline</w:t>
      </w:r>
      <w:r w:rsidR="009C6668">
        <w:t>,</w:t>
      </w:r>
      <w:r w:rsidR="00F1538A">
        <w:t xml:space="preserve"> </w:t>
      </w:r>
      <w:r w:rsidR="009C6668">
        <w:t>as mentioned</w:t>
      </w:r>
      <w:r w:rsidR="00DB7983">
        <w:t xml:space="preserve"> above</w:t>
      </w:r>
      <w:r w:rsidR="009C6668">
        <w:t>,</w:t>
      </w:r>
      <w:r w:rsidR="00DB7983">
        <w:t xml:space="preserve"> </w:t>
      </w:r>
      <w:r w:rsidR="00F1538A">
        <w:t xml:space="preserve">and </w:t>
      </w:r>
      <w:r w:rsidRPr="009723BD">
        <w:t>considerable capacity is likely to be added over the next two to three years. We estimate that at least 145 Mt and maybe as much as 370 Mt of new capacity will come on stream in the period</w:t>
      </w:r>
      <w:r>
        <w:t xml:space="preserve"> up</w:t>
      </w:r>
      <w:r w:rsidRPr="009723BD">
        <w:t xml:space="preserve"> to and including 2017.</w:t>
      </w:r>
      <w:r w:rsidR="00CB4B7C">
        <w:t xml:space="preserve"> </w:t>
      </w:r>
      <w:r w:rsidR="000E1ECD">
        <w:t>Adding another 370 Mt to capacity is, considering the demand forecasts, a strategy that will necessitate the closure of some more expensive mines and it doesn’t seem unrealistic that some of these projects will see a certain lag before they can start production.</w:t>
      </w:r>
    </w:p>
    <w:p w:rsidR="000539F8" w:rsidRPr="00650986" w:rsidRDefault="000539F8" w:rsidP="000539F8">
      <w:pPr>
        <w:spacing w:after="240"/>
        <w:jc w:val="both"/>
      </w:pPr>
      <w:r>
        <w:t xml:space="preserve">Consequently, </w:t>
      </w:r>
      <w:r w:rsidRPr="00650986">
        <w:t xml:space="preserve">the world iron ore market will be characterized by </w:t>
      </w:r>
      <w:r>
        <w:t xml:space="preserve">potential or actual oversupply </w:t>
      </w:r>
      <w:r w:rsidRPr="00650986">
        <w:t xml:space="preserve">for </w:t>
      </w:r>
      <w:r>
        <w:t>a few</w:t>
      </w:r>
      <w:r w:rsidRPr="00650986">
        <w:t xml:space="preserve"> years to come</w:t>
      </w:r>
      <w:r>
        <w:t>. This will prevent prices to rise above a certain ceiling, which will be set by the price that is needed in order to allow additional investment</w:t>
      </w:r>
      <w:r w:rsidRPr="00650986">
        <w:t xml:space="preserve">, </w:t>
      </w:r>
      <w:r>
        <w:t xml:space="preserve">particularly by Vale in Brazil, to go ahead. The ceiling may be situated somewhere in the neighbourhood of USD 80 per tonne, although exchange rate fluctuations may make it difficult to identify the ceiling price at any given time. </w:t>
      </w:r>
      <w:r w:rsidRPr="00650986">
        <w:t>The main factors influencing the market include:</w:t>
      </w:r>
    </w:p>
    <w:p w:rsidR="000539F8" w:rsidRPr="00F61578" w:rsidRDefault="000539F8" w:rsidP="000539F8">
      <w:pPr>
        <w:pStyle w:val="ListParagraph"/>
        <w:numPr>
          <w:ilvl w:val="0"/>
          <w:numId w:val="2"/>
        </w:numPr>
        <w:tabs>
          <w:tab w:val="left" w:pos="1080"/>
        </w:tabs>
        <w:spacing w:after="240"/>
        <w:ind w:left="1080" w:hanging="540"/>
        <w:jc w:val="both"/>
      </w:pPr>
      <w:r w:rsidRPr="00F61578">
        <w:t xml:space="preserve">Chinese steel demand will grow considerably slower than during the past decade, while demand in the rest of the world will pick up, in spite of the uninspiring macroeconomic outlook in the Euro zone. </w:t>
      </w:r>
    </w:p>
    <w:p w:rsidR="000539F8" w:rsidRDefault="000539F8" w:rsidP="000539F8">
      <w:pPr>
        <w:pStyle w:val="ListParagraph"/>
        <w:numPr>
          <w:ilvl w:val="0"/>
          <w:numId w:val="2"/>
        </w:numPr>
        <w:tabs>
          <w:tab w:val="left" w:pos="1080"/>
        </w:tabs>
        <w:spacing w:after="240"/>
        <w:ind w:left="1080" w:hanging="540"/>
        <w:jc w:val="both"/>
      </w:pPr>
      <w:r w:rsidRPr="00F61578">
        <w:t>This means that world steel demand and production will increase at rates lower than in the past decade, and closer to those experienced in the 1990s.</w:t>
      </w:r>
    </w:p>
    <w:p w:rsidR="000539F8" w:rsidRDefault="000539F8" w:rsidP="00F1538A">
      <w:pPr>
        <w:pStyle w:val="ListParagraph"/>
        <w:numPr>
          <w:ilvl w:val="0"/>
          <w:numId w:val="2"/>
        </w:numPr>
        <w:tabs>
          <w:tab w:val="left" w:pos="1080"/>
        </w:tabs>
        <w:spacing w:after="240"/>
        <w:ind w:left="1080" w:hanging="540"/>
        <w:jc w:val="both"/>
      </w:pPr>
      <w:r>
        <w:lastRenderedPageBreak/>
        <w:t xml:space="preserve">New supply will come mainly from the three largest producers, who are expected to be somewhat more cautious in their approach to investment decisions in the future than they have been for the past several years. </w:t>
      </w:r>
    </w:p>
    <w:p w:rsidR="003B7E88" w:rsidRPr="00F1538A" w:rsidRDefault="003B7E88" w:rsidP="003B7E88">
      <w:pPr>
        <w:tabs>
          <w:tab w:val="left" w:pos="1080"/>
        </w:tabs>
        <w:spacing w:after="240"/>
        <w:jc w:val="both"/>
      </w:pPr>
    </w:p>
    <w:p w:rsidR="003B7E88" w:rsidRPr="003B7E88" w:rsidRDefault="003B7E88" w:rsidP="003B7E88">
      <w:pPr>
        <w:jc w:val="both"/>
        <w:rPr>
          <w:b/>
          <w:i/>
        </w:rPr>
      </w:pPr>
      <w:r w:rsidRPr="003B7E88">
        <w:rPr>
          <w:i/>
        </w:rPr>
        <w:t xml:space="preserve">The background material for this article is extracted from the forthcoming </w:t>
      </w:r>
      <w:r>
        <w:rPr>
          <w:i/>
        </w:rPr>
        <w:t>Iron Ore Market 2014-2016 published by UNCTAD</w:t>
      </w:r>
      <w:r w:rsidRPr="003B7E88">
        <w:rPr>
          <w:i/>
        </w:rPr>
        <w:t>.</w:t>
      </w:r>
      <w:r>
        <w:rPr>
          <w:i/>
        </w:rPr>
        <w:t xml:space="preserve"> </w:t>
      </w:r>
      <w:r w:rsidRPr="003B7E88">
        <w:rPr>
          <w:i/>
        </w:rPr>
        <w:t xml:space="preserve">For further details please contact </w:t>
      </w:r>
      <w:r>
        <w:rPr>
          <w:i/>
        </w:rPr>
        <w:t xml:space="preserve">UNCTAD at </w:t>
      </w:r>
      <w:hyperlink r:id="rId9" w:history="1">
        <w:r w:rsidRPr="00636786">
          <w:rPr>
            <w:rStyle w:val="Hyperlink"/>
            <w:i/>
          </w:rPr>
          <w:t>ironore1@unctad.org</w:t>
        </w:r>
      </w:hyperlink>
      <w:r>
        <w:rPr>
          <w:i/>
        </w:rPr>
        <w:t xml:space="preserve"> or Anton Löf at</w:t>
      </w:r>
      <w:r w:rsidRPr="003B7E88">
        <w:rPr>
          <w:i/>
        </w:rPr>
        <w:t xml:space="preserve"> a</w:t>
      </w:r>
      <w:r w:rsidR="00B511D0">
        <w:rPr>
          <w:i/>
        </w:rPr>
        <w:t>lof</w:t>
      </w:r>
      <w:r w:rsidRPr="003B7E88">
        <w:rPr>
          <w:i/>
        </w:rPr>
        <w:t>@snl.com.</w:t>
      </w:r>
    </w:p>
    <w:p w:rsidR="000539F8" w:rsidRDefault="000539F8" w:rsidP="003B7E88"/>
    <w:p w:rsidR="00282BDA" w:rsidRDefault="00282BDA">
      <w:pPr>
        <w:spacing w:after="160" w:line="259" w:lineRule="auto"/>
      </w:pPr>
    </w:p>
    <w:sectPr w:rsidR="00282B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D9" w:rsidRDefault="002715D9" w:rsidP="000539F8">
      <w:r>
        <w:separator/>
      </w:r>
    </w:p>
  </w:endnote>
  <w:endnote w:type="continuationSeparator" w:id="0">
    <w:p w:rsidR="002715D9" w:rsidRDefault="002715D9" w:rsidP="0005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D9" w:rsidRDefault="002715D9" w:rsidP="000539F8">
      <w:r>
        <w:separator/>
      </w:r>
    </w:p>
  </w:footnote>
  <w:footnote w:type="continuationSeparator" w:id="0">
    <w:p w:rsidR="002715D9" w:rsidRDefault="002715D9" w:rsidP="00053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94B44"/>
    <w:multiLevelType w:val="hybridMultilevel"/>
    <w:tmpl w:val="7E2A7BE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596A7B87"/>
    <w:multiLevelType w:val="hybridMultilevel"/>
    <w:tmpl w:val="67628C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ECB278B"/>
    <w:multiLevelType w:val="hybridMultilevel"/>
    <w:tmpl w:val="59DA6D7E"/>
    <w:lvl w:ilvl="0" w:tplc="DBD2BEE0">
      <w:start w:val="1"/>
      <w:numFmt w:val="bullet"/>
      <w:lvlText w:val=""/>
      <w:lvlJc w:val="left"/>
      <w:pPr>
        <w:tabs>
          <w:tab w:val="num" w:pos="0"/>
        </w:tabs>
        <w:ind w:left="720" w:hanging="360"/>
      </w:pPr>
      <w:rPr>
        <w:rFonts w:ascii="Symbol" w:hAnsi="Symbol" w:hint="default"/>
      </w:rPr>
    </w:lvl>
    <w:lvl w:ilvl="1" w:tplc="2DD257E6" w:tentative="1">
      <w:start w:val="1"/>
      <w:numFmt w:val="bullet"/>
      <w:lvlText w:val="o"/>
      <w:lvlJc w:val="left"/>
      <w:pPr>
        <w:ind w:left="1440" w:hanging="360"/>
      </w:pPr>
      <w:rPr>
        <w:rFonts w:ascii="Courier New" w:hAnsi="Courier New" w:hint="default"/>
      </w:rPr>
    </w:lvl>
    <w:lvl w:ilvl="2" w:tplc="74F66638" w:tentative="1">
      <w:start w:val="1"/>
      <w:numFmt w:val="bullet"/>
      <w:lvlText w:val=""/>
      <w:lvlJc w:val="left"/>
      <w:pPr>
        <w:ind w:left="2160" w:hanging="360"/>
      </w:pPr>
      <w:rPr>
        <w:rFonts w:ascii="Wingdings" w:hAnsi="Wingdings" w:hint="default"/>
      </w:rPr>
    </w:lvl>
    <w:lvl w:ilvl="3" w:tplc="F0AE0018" w:tentative="1">
      <w:start w:val="1"/>
      <w:numFmt w:val="bullet"/>
      <w:lvlText w:val=""/>
      <w:lvlJc w:val="left"/>
      <w:pPr>
        <w:ind w:left="2880" w:hanging="360"/>
      </w:pPr>
      <w:rPr>
        <w:rFonts w:ascii="Symbol" w:hAnsi="Symbol" w:hint="default"/>
      </w:rPr>
    </w:lvl>
    <w:lvl w:ilvl="4" w:tplc="E4285FD4" w:tentative="1">
      <w:start w:val="1"/>
      <w:numFmt w:val="bullet"/>
      <w:lvlText w:val="o"/>
      <w:lvlJc w:val="left"/>
      <w:pPr>
        <w:ind w:left="3600" w:hanging="360"/>
      </w:pPr>
      <w:rPr>
        <w:rFonts w:ascii="Courier New" w:hAnsi="Courier New" w:hint="default"/>
      </w:rPr>
    </w:lvl>
    <w:lvl w:ilvl="5" w:tplc="C79E6C38" w:tentative="1">
      <w:start w:val="1"/>
      <w:numFmt w:val="bullet"/>
      <w:lvlText w:val=""/>
      <w:lvlJc w:val="left"/>
      <w:pPr>
        <w:ind w:left="4320" w:hanging="360"/>
      </w:pPr>
      <w:rPr>
        <w:rFonts w:ascii="Wingdings" w:hAnsi="Wingdings" w:hint="default"/>
      </w:rPr>
    </w:lvl>
    <w:lvl w:ilvl="6" w:tplc="14A08592" w:tentative="1">
      <w:start w:val="1"/>
      <w:numFmt w:val="bullet"/>
      <w:lvlText w:val=""/>
      <w:lvlJc w:val="left"/>
      <w:pPr>
        <w:ind w:left="5040" w:hanging="360"/>
      </w:pPr>
      <w:rPr>
        <w:rFonts w:ascii="Symbol" w:hAnsi="Symbol" w:hint="default"/>
      </w:rPr>
    </w:lvl>
    <w:lvl w:ilvl="7" w:tplc="907C711E" w:tentative="1">
      <w:start w:val="1"/>
      <w:numFmt w:val="bullet"/>
      <w:lvlText w:val="o"/>
      <w:lvlJc w:val="left"/>
      <w:pPr>
        <w:ind w:left="5760" w:hanging="360"/>
      </w:pPr>
      <w:rPr>
        <w:rFonts w:ascii="Courier New" w:hAnsi="Courier New" w:hint="default"/>
      </w:rPr>
    </w:lvl>
    <w:lvl w:ilvl="8" w:tplc="06368376"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F8"/>
    <w:rsid w:val="000539F8"/>
    <w:rsid w:val="000E1ECD"/>
    <w:rsid w:val="001A7CB6"/>
    <w:rsid w:val="001D4938"/>
    <w:rsid w:val="002715D9"/>
    <w:rsid w:val="00282BDA"/>
    <w:rsid w:val="0029285F"/>
    <w:rsid w:val="00335683"/>
    <w:rsid w:val="00390854"/>
    <w:rsid w:val="003A0EBE"/>
    <w:rsid w:val="003A6FA0"/>
    <w:rsid w:val="003B57E0"/>
    <w:rsid w:val="003B7E88"/>
    <w:rsid w:val="004445D5"/>
    <w:rsid w:val="00464788"/>
    <w:rsid w:val="00496868"/>
    <w:rsid w:val="004969F7"/>
    <w:rsid w:val="00581CD3"/>
    <w:rsid w:val="005B5737"/>
    <w:rsid w:val="005E70CB"/>
    <w:rsid w:val="0062677C"/>
    <w:rsid w:val="00683866"/>
    <w:rsid w:val="006B3DE1"/>
    <w:rsid w:val="006F56D9"/>
    <w:rsid w:val="007B48C8"/>
    <w:rsid w:val="007E5215"/>
    <w:rsid w:val="0084154B"/>
    <w:rsid w:val="00851939"/>
    <w:rsid w:val="008A4601"/>
    <w:rsid w:val="008C77CF"/>
    <w:rsid w:val="008D4AB4"/>
    <w:rsid w:val="008F2D36"/>
    <w:rsid w:val="00966D90"/>
    <w:rsid w:val="0098204B"/>
    <w:rsid w:val="009C6668"/>
    <w:rsid w:val="00A16C02"/>
    <w:rsid w:val="00A21111"/>
    <w:rsid w:val="00A553AB"/>
    <w:rsid w:val="00A55F7F"/>
    <w:rsid w:val="00A66B32"/>
    <w:rsid w:val="00A83E27"/>
    <w:rsid w:val="00AE12E0"/>
    <w:rsid w:val="00B041E9"/>
    <w:rsid w:val="00B511D0"/>
    <w:rsid w:val="00B557A3"/>
    <w:rsid w:val="00B92261"/>
    <w:rsid w:val="00BB2184"/>
    <w:rsid w:val="00C60788"/>
    <w:rsid w:val="00C64764"/>
    <w:rsid w:val="00CB4B7C"/>
    <w:rsid w:val="00CD03BA"/>
    <w:rsid w:val="00CD1C71"/>
    <w:rsid w:val="00D54B1C"/>
    <w:rsid w:val="00D97DD3"/>
    <w:rsid w:val="00DA4600"/>
    <w:rsid w:val="00DB7983"/>
    <w:rsid w:val="00DD4A81"/>
    <w:rsid w:val="00DE5917"/>
    <w:rsid w:val="00E024ED"/>
    <w:rsid w:val="00E06605"/>
    <w:rsid w:val="00E06867"/>
    <w:rsid w:val="00E5198A"/>
    <w:rsid w:val="00EA162C"/>
    <w:rsid w:val="00EF003E"/>
    <w:rsid w:val="00F1538A"/>
    <w:rsid w:val="00F24627"/>
    <w:rsid w:val="00F85FF1"/>
    <w:rsid w:val="00FA03E2"/>
    <w:rsid w:val="00FB5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F8"/>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1"/>
    <w:qFormat/>
    <w:rsid w:val="000539F8"/>
    <w:pPr>
      <w:keepNext/>
      <w:outlineLvl w:val="0"/>
    </w:pPr>
    <w:rPr>
      <w:b/>
      <w:bCs/>
      <w:i/>
      <w:iCs/>
    </w:rPr>
  </w:style>
  <w:style w:type="paragraph" w:styleId="Heading2">
    <w:name w:val="heading 2"/>
    <w:basedOn w:val="Normal"/>
    <w:next w:val="Normal"/>
    <w:link w:val="Heading2Char1"/>
    <w:qFormat/>
    <w:rsid w:val="000539F8"/>
    <w:pPr>
      <w:keepNext/>
      <w:jc w:val="center"/>
      <w:outlineLvl w:val="1"/>
    </w:pPr>
    <w:rPr>
      <w:rFonts w:ascii="Tms Rmn" w:hAnsi="Tms Rmn"/>
      <w:b/>
      <w:bCs/>
      <w:szCs w:val="20"/>
    </w:rPr>
  </w:style>
  <w:style w:type="paragraph" w:styleId="Heading3">
    <w:name w:val="heading 3"/>
    <w:basedOn w:val="Normal"/>
    <w:next w:val="Normal"/>
    <w:link w:val="Heading3Char1"/>
    <w:qFormat/>
    <w:rsid w:val="000539F8"/>
    <w:pPr>
      <w:keepNext/>
      <w:spacing w:before="240" w:after="60"/>
      <w:outlineLvl w:val="2"/>
    </w:pPr>
    <w:rPr>
      <w:rFonts w:ascii="Arial" w:hAnsi="Arial" w:cs="Arial"/>
      <w:b/>
      <w:bCs/>
      <w:sz w:val="26"/>
      <w:szCs w:val="26"/>
    </w:rPr>
  </w:style>
  <w:style w:type="paragraph" w:styleId="Heading5">
    <w:name w:val="heading 5"/>
    <w:basedOn w:val="Normal"/>
    <w:next w:val="Normal"/>
    <w:link w:val="Heading5Char1"/>
    <w:qFormat/>
    <w:rsid w:val="000539F8"/>
    <w:pPr>
      <w:keepNext/>
      <w:widowControl w:val="0"/>
      <w:autoSpaceDE w:val="0"/>
      <w:autoSpaceDN w:val="0"/>
      <w:adjustRightInd w:val="0"/>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539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uiPriority w:val="9"/>
    <w:semiHidden/>
    <w:rsid w:val="000539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
    <w:semiHidden/>
    <w:rsid w:val="000539F8"/>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uiPriority w:val="9"/>
    <w:semiHidden/>
    <w:rsid w:val="000539F8"/>
    <w:rPr>
      <w:rFonts w:asciiTheme="majorHAnsi" w:eastAsiaTheme="majorEastAsia" w:hAnsiTheme="majorHAnsi" w:cstheme="majorBidi"/>
      <w:color w:val="2E74B5" w:themeColor="accent1" w:themeShade="BF"/>
      <w:sz w:val="24"/>
      <w:szCs w:val="24"/>
    </w:rPr>
  </w:style>
  <w:style w:type="character" w:customStyle="1" w:styleId="Heading1Char1">
    <w:name w:val="Heading 1 Char1"/>
    <w:basedOn w:val="DefaultParagraphFont"/>
    <w:link w:val="Heading1"/>
    <w:locked/>
    <w:rsid w:val="000539F8"/>
    <w:rPr>
      <w:rFonts w:ascii="Times New Roman" w:eastAsia="Calibri" w:hAnsi="Times New Roman" w:cs="Times New Roman"/>
      <w:b/>
      <w:bCs/>
      <w:i/>
      <w:iCs/>
      <w:sz w:val="24"/>
      <w:szCs w:val="24"/>
    </w:rPr>
  </w:style>
  <w:style w:type="character" w:customStyle="1" w:styleId="Heading2Char1">
    <w:name w:val="Heading 2 Char1"/>
    <w:basedOn w:val="DefaultParagraphFont"/>
    <w:link w:val="Heading2"/>
    <w:locked/>
    <w:rsid w:val="000539F8"/>
    <w:rPr>
      <w:rFonts w:ascii="Tms Rmn" w:eastAsia="Calibri" w:hAnsi="Tms Rmn" w:cs="Times New Roman"/>
      <w:b/>
      <w:bCs/>
      <w:sz w:val="24"/>
      <w:szCs w:val="20"/>
    </w:rPr>
  </w:style>
  <w:style w:type="character" w:customStyle="1" w:styleId="Heading3Char1">
    <w:name w:val="Heading 3 Char1"/>
    <w:basedOn w:val="DefaultParagraphFont"/>
    <w:link w:val="Heading3"/>
    <w:locked/>
    <w:rsid w:val="000539F8"/>
    <w:rPr>
      <w:rFonts w:ascii="Arial" w:eastAsia="Calibri" w:hAnsi="Arial" w:cs="Arial"/>
      <w:b/>
      <w:bCs/>
      <w:sz w:val="26"/>
      <w:szCs w:val="26"/>
    </w:rPr>
  </w:style>
  <w:style w:type="character" w:customStyle="1" w:styleId="Heading5Char1">
    <w:name w:val="Heading 5 Char1"/>
    <w:basedOn w:val="DefaultParagraphFont"/>
    <w:link w:val="Heading5"/>
    <w:locked/>
    <w:rsid w:val="000539F8"/>
    <w:rPr>
      <w:rFonts w:ascii="Times New Roman" w:eastAsia="Calibri" w:hAnsi="Times New Roman" w:cs="Times New Roman"/>
      <w:b/>
      <w:i/>
      <w:sz w:val="24"/>
      <w:szCs w:val="24"/>
    </w:rPr>
  </w:style>
  <w:style w:type="paragraph" w:styleId="BodyText">
    <w:name w:val="Body Text"/>
    <w:basedOn w:val="Normal"/>
    <w:link w:val="BodyTextChar1"/>
    <w:rsid w:val="000539F8"/>
    <w:pPr>
      <w:jc w:val="both"/>
    </w:pPr>
    <w:rPr>
      <w:szCs w:val="20"/>
      <w:lang w:val="en-US"/>
    </w:rPr>
  </w:style>
  <w:style w:type="character" w:customStyle="1" w:styleId="BodyTextChar">
    <w:name w:val="Body Text Char"/>
    <w:basedOn w:val="DefaultParagraphFont"/>
    <w:uiPriority w:val="99"/>
    <w:semiHidden/>
    <w:rsid w:val="000539F8"/>
    <w:rPr>
      <w:rFonts w:ascii="Times New Roman" w:eastAsia="Calibri" w:hAnsi="Times New Roman" w:cs="Times New Roman"/>
      <w:sz w:val="24"/>
      <w:szCs w:val="24"/>
    </w:rPr>
  </w:style>
  <w:style w:type="character" w:customStyle="1" w:styleId="BodyTextChar1">
    <w:name w:val="Body Text Char1"/>
    <w:basedOn w:val="DefaultParagraphFont"/>
    <w:link w:val="BodyText"/>
    <w:locked/>
    <w:rsid w:val="000539F8"/>
    <w:rPr>
      <w:rFonts w:ascii="Times New Roman" w:eastAsia="Calibri" w:hAnsi="Times New Roman" w:cs="Times New Roman"/>
      <w:sz w:val="24"/>
      <w:szCs w:val="20"/>
      <w:lang w:val="en-US"/>
    </w:rPr>
  </w:style>
  <w:style w:type="paragraph" w:styleId="FootnoteText">
    <w:name w:val="footnote text"/>
    <w:basedOn w:val="Normal"/>
    <w:link w:val="FootnoteTextChar"/>
    <w:uiPriority w:val="99"/>
    <w:unhideWhenUsed/>
    <w:rsid w:val="000539F8"/>
    <w:rPr>
      <w:sz w:val="20"/>
      <w:szCs w:val="20"/>
    </w:rPr>
  </w:style>
  <w:style w:type="character" w:customStyle="1" w:styleId="FootnoteTextChar">
    <w:name w:val="Footnote Text Char"/>
    <w:basedOn w:val="DefaultParagraphFont"/>
    <w:link w:val="FootnoteText"/>
    <w:uiPriority w:val="99"/>
    <w:rsid w:val="000539F8"/>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0539F8"/>
    <w:rPr>
      <w:vertAlign w:val="superscript"/>
    </w:rPr>
  </w:style>
  <w:style w:type="paragraph" w:styleId="Title">
    <w:name w:val="Title"/>
    <w:basedOn w:val="Normal"/>
    <w:link w:val="TitleChar1"/>
    <w:qFormat/>
    <w:rsid w:val="000539F8"/>
    <w:pPr>
      <w:tabs>
        <w:tab w:val="left" w:pos="1800"/>
      </w:tabs>
      <w:jc w:val="center"/>
    </w:pPr>
    <w:rPr>
      <w:rFonts w:eastAsia="Times New Roman"/>
      <w:b/>
      <w:bCs/>
    </w:rPr>
  </w:style>
  <w:style w:type="character" w:customStyle="1" w:styleId="TitleChar">
    <w:name w:val="Title Char"/>
    <w:basedOn w:val="DefaultParagraphFont"/>
    <w:uiPriority w:val="10"/>
    <w:rsid w:val="000539F8"/>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locked/>
    <w:rsid w:val="000539F8"/>
    <w:rPr>
      <w:rFonts w:ascii="Times New Roman" w:eastAsia="Times New Roman" w:hAnsi="Times New Roman" w:cs="Times New Roman"/>
      <w:b/>
      <w:bCs/>
      <w:sz w:val="24"/>
      <w:szCs w:val="24"/>
    </w:rPr>
  </w:style>
  <w:style w:type="paragraph" w:styleId="ListParagraph">
    <w:name w:val="List Paragraph"/>
    <w:basedOn w:val="Normal"/>
    <w:uiPriority w:val="34"/>
    <w:qFormat/>
    <w:rsid w:val="000539F8"/>
    <w:pPr>
      <w:ind w:left="720"/>
      <w:contextualSpacing/>
    </w:pPr>
  </w:style>
  <w:style w:type="paragraph" w:styleId="BalloonText">
    <w:name w:val="Balloon Text"/>
    <w:basedOn w:val="Normal"/>
    <w:link w:val="BalloonTextChar"/>
    <w:uiPriority w:val="99"/>
    <w:semiHidden/>
    <w:unhideWhenUsed/>
    <w:rsid w:val="00335683"/>
    <w:rPr>
      <w:rFonts w:ascii="Tahoma" w:hAnsi="Tahoma" w:cs="Tahoma"/>
      <w:sz w:val="16"/>
      <w:szCs w:val="16"/>
    </w:rPr>
  </w:style>
  <w:style w:type="character" w:customStyle="1" w:styleId="BalloonTextChar">
    <w:name w:val="Balloon Text Char"/>
    <w:basedOn w:val="DefaultParagraphFont"/>
    <w:link w:val="BalloonText"/>
    <w:uiPriority w:val="99"/>
    <w:semiHidden/>
    <w:rsid w:val="00335683"/>
    <w:rPr>
      <w:rFonts w:ascii="Tahoma" w:eastAsia="Calibri" w:hAnsi="Tahoma" w:cs="Tahoma"/>
      <w:sz w:val="16"/>
      <w:szCs w:val="16"/>
    </w:rPr>
  </w:style>
  <w:style w:type="character" w:styleId="Hyperlink">
    <w:name w:val="Hyperlink"/>
    <w:basedOn w:val="DefaultParagraphFont"/>
    <w:uiPriority w:val="99"/>
    <w:unhideWhenUsed/>
    <w:rsid w:val="003B7E88"/>
    <w:rPr>
      <w:color w:val="0563C1" w:themeColor="hyperlink"/>
      <w:u w:val="single"/>
    </w:rPr>
  </w:style>
  <w:style w:type="character" w:styleId="CommentReference">
    <w:name w:val="annotation reference"/>
    <w:basedOn w:val="DefaultParagraphFont"/>
    <w:uiPriority w:val="99"/>
    <w:semiHidden/>
    <w:unhideWhenUsed/>
    <w:rsid w:val="005B5737"/>
    <w:rPr>
      <w:sz w:val="16"/>
      <w:szCs w:val="16"/>
    </w:rPr>
  </w:style>
  <w:style w:type="paragraph" w:styleId="CommentText">
    <w:name w:val="annotation text"/>
    <w:basedOn w:val="Normal"/>
    <w:link w:val="CommentTextChar"/>
    <w:uiPriority w:val="99"/>
    <w:semiHidden/>
    <w:unhideWhenUsed/>
    <w:rsid w:val="005B5737"/>
    <w:rPr>
      <w:sz w:val="20"/>
      <w:szCs w:val="20"/>
    </w:rPr>
  </w:style>
  <w:style w:type="character" w:customStyle="1" w:styleId="CommentTextChar">
    <w:name w:val="Comment Text Char"/>
    <w:basedOn w:val="DefaultParagraphFont"/>
    <w:link w:val="CommentText"/>
    <w:uiPriority w:val="99"/>
    <w:semiHidden/>
    <w:rsid w:val="005B573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5737"/>
    <w:rPr>
      <w:b/>
      <w:bCs/>
    </w:rPr>
  </w:style>
  <w:style w:type="character" w:customStyle="1" w:styleId="CommentSubjectChar">
    <w:name w:val="Comment Subject Char"/>
    <w:basedOn w:val="CommentTextChar"/>
    <w:link w:val="CommentSubject"/>
    <w:uiPriority w:val="99"/>
    <w:semiHidden/>
    <w:rsid w:val="005B5737"/>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F8"/>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1"/>
    <w:qFormat/>
    <w:rsid w:val="000539F8"/>
    <w:pPr>
      <w:keepNext/>
      <w:outlineLvl w:val="0"/>
    </w:pPr>
    <w:rPr>
      <w:b/>
      <w:bCs/>
      <w:i/>
      <w:iCs/>
    </w:rPr>
  </w:style>
  <w:style w:type="paragraph" w:styleId="Heading2">
    <w:name w:val="heading 2"/>
    <w:basedOn w:val="Normal"/>
    <w:next w:val="Normal"/>
    <w:link w:val="Heading2Char1"/>
    <w:qFormat/>
    <w:rsid w:val="000539F8"/>
    <w:pPr>
      <w:keepNext/>
      <w:jc w:val="center"/>
      <w:outlineLvl w:val="1"/>
    </w:pPr>
    <w:rPr>
      <w:rFonts w:ascii="Tms Rmn" w:hAnsi="Tms Rmn"/>
      <w:b/>
      <w:bCs/>
      <w:szCs w:val="20"/>
    </w:rPr>
  </w:style>
  <w:style w:type="paragraph" w:styleId="Heading3">
    <w:name w:val="heading 3"/>
    <w:basedOn w:val="Normal"/>
    <w:next w:val="Normal"/>
    <w:link w:val="Heading3Char1"/>
    <w:qFormat/>
    <w:rsid w:val="000539F8"/>
    <w:pPr>
      <w:keepNext/>
      <w:spacing w:before="240" w:after="60"/>
      <w:outlineLvl w:val="2"/>
    </w:pPr>
    <w:rPr>
      <w:rFonts w:ascii="Arial" w:hAnsi="Arial" w:cs="Arial"/>
      <w:b/>
      <w:bCs/>
      <w:sz w:val="26"/>
      <w:szCs w:val="26"/>
    </w:rPr>
  </w:style>
  <w:style w:type="paragraph" w:styleId="Heading5">
    <w:name w:val="heading 5"/>
    <w:basedOn w:val="Normal"/>
    <w:next w:val="Normal"/>
    <w:link w:val="Heading5Char1"/>
    <w:qFormat/>
    <w:rsid w:val="000539F8"/>
    <w:pPr>
      <w:keepNext/>
      <w:widowControl w:val="0"/>
      <w:autoSpaceDE w:val="0"/>
      <w:autoSpaceDN w:val="0"/>
      <w:adjustRightInd w:val="0"/>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539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uiPriority w:val="9"/>
    <w:semiHidden/>
    <w:rsid w:val="000539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
    <w:semiHidden/>
    <w:rsid w:val="000539F8"/>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uiPriority w:val="9"/>
    <w:semiHidden/>
    <w:rsid w:val="000539F8"/>
    <w:rPr>
      <w:rFonts w:asciiTheme="majorHAnsi" w:eastAsiaTheme="majorEastAsia" w:hAnsiTheme="majorHAnsi" w:cstheme="majorBidi"/>
      <w:color w:val="2E74B5" w:themeColor="accent1" w:themeShade="BF"/>
      <w:sz w:val="24"/>
      <w:szCs w:val="24"/>
    </w:rPr>
  </w:style>
  <w:style w:type="character" w:customStyle="1" w:styleId="Heading1Char1">
    <w:name w:val="Heading 1 Char1"/>
    <w:basedOn w:val="DefaultParagraphFont"/>
    <w:link w:val="Heading1"/>
    <w:locked/>
    <w:rsid w:val="000539F8"/>
    <w:rPr>
      <w:rFonts w:ascii="Times New Roman" w:eastAsia="Calibri" w:hAnsi="Times New Roman" w:cs="Times New Roman"/>
      <w:b/>
      <w:bCs/>
      <w:i/>
      <w:iCs/>
      <w:sz w:val="24"/>
      <w:szCs w:val="24"/>
    </w:rPr>
  </w:style>
  <w:style w:type="character" w:customStyle="1" w:styleId="Heading2Char1">
    <w:name w:val="Heading 2 Char1"/>
    <w:basedOn w:val="DefaultParagraphFont"/>
    <w:link w:val="Heading2"/>
    <w:locked/>
    <w:rsid w:val="000539F8"/>
    <w:rPr>
      <w:rFonts w:ascii="Tms Rmn" w:eastAsia="Calibri" w:hAnsi="Tms Rmn" w:cs="Times New Roman"/>
      <w:b/>
      <w:bCs/>
      <w:sz w:val="24"/>
      <w:szCs w:val="20"/>
    </w:rPr>
  </w:style>
  <w:style w:type="character" w:customStyle="1" w:styleId="Heading3Char1">
    <w:name w:val="Heading 3 Char1"/>
    <w:basedOn w:val="DefaultParagraphFont"/>
    <w:link w:val="Heading3"/>
    <w:locked/>
    <w:rsid w:val="000539F8"/>
    <w:rPr>
      <w:rFonts w:ascii="Arial" w:eastAsia="Calibri" w:hAnsi="Arial" w:cs="Arial"/>
      <w:b/>
      <w:bCs/>
      <w:sz w:val="26"/>
      <w:szCs w:val="26"/>
    </w:rPr>
  </w:style>
  <w:style w:type="character" w:customStyle="1" w:styleId="Heading5Char1">
    <w:name w:val="Heading 5 Char1"/>
    <w:basedOn w:val="DefaultParagraphFont"/>
    <w:link w:val="Heading5"/>
    <w:locked/>
    <w:rsid w:val="000539F8"/>
    <w:rPr>
      <w:rFonts w:ascii="Times New Roman" w:eastAsia="Calibri" w:hAnsi="Times New Roman" w:cs="Times New Roman"/>
      <w:b/>
      <w:i/>
      <w:sz w:val="24"/>
      <w:szCs w:val="24"/>
    </w:rPr>
  </w:style>
  <w:style w:type="paragraph" w:styleId="BodyText">
    <w:name w:val="Body Text"/>
    <w:basedOn w:val="Normal"/>
    <w:link w:val="BodyTextChar1"/>
    <w:rsid w:val="000539F8"/>
    <w:pPr>
      <w:jc w:val="both"/>
    </w:pPr>
    <w:rPr>
      <w:szCs w:val="20"/>
      <w:lang w:val="en-US"/>
    </w:rPr>
  </w:style>
  <w:style w:type="character" w:customStyle="1" w:styleId="BodyTextChar">
    <w:name w:val="Body Text Char"/>
    <w:basedOn w:val="DefaultParagraphFont"/>
    <w:uiPriority w:val="99"/>
    <w:semiHidden/>
    <w:rsid w:val="000539F8"/>
    <w:rPr>
      <w:rFonts w:ascii="Times New Roman" w:eastAsia="Calibri" w:hAnsi="Times New Roman" w:cs="Times New Roman"/>
      <w:sz w:val="24"/>
      <w:szCs w:val="24"/>
    </w:rPr>
  </w:style>
  <w:style w:type="character" w:customStyle="1" w:styleId="BodyTextChar1">
    <w:name w:val="Body Text Char1"/>
    <w:basedOn w:val="DefaultParagraphFont"/>
    <w:link w:val="BodyText"/>
    <w:locked/>
    <w:rsid w:val="000539F8"/>
    <w:rPr>
      <w:rFonts w:ascii="Times New Roman" w:eastAsia="Calibri" w:hAnsi="Times New Roman" w:cs="Times New Roman"/>
      <w:sz w:val="24"/>
      <w:szCs w:val="20"/>
      <w:lang w:val="en-US"/>
    </w:rPr>
  </w:style>
  <w:style w:type="paragraph" w:styleId="FootnoteText">
    <w:name w:val="footnote text"/>
    <w:basedOn w:val="Normal"/>
    <w:link w:val="FootnoteTextChar"/>
    <w:uiPriority w:val="99"/>
    <w:unhideWhenUsed/>
    <w:rsid w:val="000539F8"/>
    <w:rPr>
      <w:sz w:val="20"/>
      <w:szCs w:val="20"/>
    </w:rPr>
  </w:style>
  <w:style w:type="character" w:customStyle="1" w:styleId="FootnoteTextChar">
    <w:name w:val="Footnote Text Char"/>
    <w:basedOn w:val="DefaultParagraphFont"/>
    <w:link w:val="FootnoteText"/>
    <w:uiPriority w:val="99"/>
    <w:rsid w:val="000539F8"/>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0539F8"/>
    <w:rPr>
      <w:vertAlign w:val="superscript"/>
    </w:rPr>
  </w:style>
  <w:style w:type="paragraph" w:styleId="Title">
    <w:name w:val="Title"/>
    <w:basedOn w:val="Normal"/>
    <w:link w:val="TitleChar1"/>
    <w:qFormat/>
    <w:rsid w:val="000539F8"/>
    <w:pPr>
      <w:tabs>
        <w:tab w:val="left" w:pos="1800"/>
      </w:tabs>
      <w:jc w:val="center"/>
    </w:pPr>
    <w:rPr>
      <w:rFonts w:eastAsia="Times New Roman"/>
      <w:b/>
      <w:bCs/>
    </w:rPr>
  </w:style>
  <w:style w:type="character" w:customStyle="1" w:styleId="TitleChar">
    <w:name w:val="Title Char"/>
    <w:basedOn w:val="DefaultParagraphFont"/>
    <w:uiPriority w:val="10"/>
    <w:rsid w:val="000539F8"/>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locked/>
    <w:rsid w:val="000539F8"/>
    <w:rPr>
      <w:rFonts w:ascii="Times New Roman" w:eastAsia="Times New Roman" w:hAnsi="Times New Roman" w:cs="Times New Roman"/>
      <w:b/>
      <w:bCs/>
      <w:sz w:val="24"/>
      <w:szCs w:val="24"/>
    </w:rPr>
  </w:style>
  <w:style w:type="paragraph" w:styleId="ListParagraph">
    <w:name w:val="List Paragraph"/>
    <w:basedOn w:val="Normal"/>
    <w:uiPriority w:val="34"/>
    <w:qFormat/>
    <w:rsid w:val="000539F8"/>
    <w:pPr>
      <w:ind w:left="720"/>
      <w:contextualSpacing/>
    </w:pPr>
  </w:style>
  <w:style w:type="paragraph" w:styleId="BalloonText">
    <w:name w:val="Balloon Text"/>
    <w:basedOn w:val="Normal"/>
    <w:link w:val="BalloonTextChar"/>
    <w:uiPriority w:val="99"/>
    <w:semiHidden/>
    <w:unhideWhenUsed/>
    <w:rsid w:val="00335683"/>
    <w:rPr>
      <w:rFonts w:ascii="Tahoma" w:hAnsi="Tahoma" w:cs="Tahoma"/>
      <w:sz w:val="16"/>
      <w:szCs w:val="16"/>
    </w:rPr>
  </w:style>
  <w:style w:type="character" w:customStyle="1" w:styleId="BalloonTextChar">
    <w:name w:val="Balloon Text Char"/>
    <w:basedOn w:val="DefaultParagraphFont"/>
    <w:link w:val="BalloonText"/>
    <w:uiPriority w:val="99"/>
    <w:semiHidden/>
    <w:rsid w:val="00335683"/>
    <w:rPr>
      <w:rFonts w:ascii="Tahoma" w:eastAsia="Calibri" w:hAnsi="Tahoma" w:cs="Tahoma"/>
      <w:sz w:val="16"/>
      <w:szCs w:val="16"/>
    </w:rPr>
  </w:style>
  <w:style w:type="character" w:styleId="Hyperlink">
    <w:name w:val="Hyperlink"/>
    <w:basedOn w:val="DefaultParagraphFont"/>
    <w:uiPriority w:val="99"/>
    <w:unhideWhenUsed/>
    <w:rsid w:val="003B7E88"/>
    <w:rPr>
      <w:color w:val="0563C1" w:themeColor="hyperlink"/>
      <w:u w:val="single"/>
    </w:rPr>
  </w:style>
  <w:style w:type="character" w:styleId="CommentReference">
    <w:name w:val="annotation reference"/>
    <w:basedOn w:val="DefaultParagraphFont"/>
    <w:uiPriority w:val="99"/>
    <w:semiHidden/>
    <w:unhideWhenUsed/>
    <w:rsid w:val="005B5737"/>
    <w:rPr>
      <w:sz w:val="16"/>
      <w:szCs w:val="16"/>
    </w:rPr>
  </w:style>
  <w:style w:type="paragraph" w:styleId="CommentText">
    <w:name w:val="annotation text"/>
    <w:basedOn w:val="Normal"/>
    <w:link w:val="CommentTextChar"/>
    <w:uiPriority w:val="99"/>
    <w:semiHidden/>
    <w:unhideWhenUsed/>
    <w:rsid w:val="005B5737"/>
    <w:rPr>
      <w:sz w:val="20"/>
      <w:szCs w:val="20"/>
    </w:rPr>
  </w:style>
  <w:style w:type="character" w:customStyle="1" w:styleId="CommentTextChar">
    <w:name w:val="Comment Text Char"/>
    <w:basedOn w:val="DefaultParagraphFont"/>
    <w:link w:val="CommentText"/>
    <w:uiPriority w:val="99"/>
    <w:semiHidden/>
    <w:rsid w:val="005B573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5737"/>
    <w:rPr>
      <w:b/>
      <w:bCs/>
    </w:rPr>
  </w:style>
  <w:style w:type="character" w:customStyle="1" w:styleId="CommentSubjectChar">
    <w:name w:val="Comment Subject Char"/>
    <w:basedOn w:val="CommentTextChar"/>
    <w:link w:val="CommentSubject"/>
    <w:uiPriority w:val="99"/>
    <w:semiHidden/>
    <w:rsid w:val="005B5737"/>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ronore1@unct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A1C09-9613-41E5-B6EE-D861909B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Olle Ostensson</dc:creator>
  <cp:lastModifiedBy>Magnus Ericsson</cp:lastModifiedBy>
  <cp:revision>6</cp:revision>
  <cp:lastPrinted>2015-10-27T15:48:00Z</cp:lastPrinted>
  <dcterms:created xsi:type="dcterms:W3CDTF">2015-10-27T16:28:00Z</dcterms:created>
  <dcterms:modified xsi:type="dcterms:W3CDTF">2015-10-27T16:35:00Z</dcterms:modified>
</cp:coreProperties>
</file>